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52A" w:rsidRPr="00525E0D" w:rsidRDefault="00392E4A" w:rsidP="009A378B">
      <w:pPr>
        <w:spacing w:after="0"/>
        <w:rPr>
          <w:b/>
          <w:sz w:val="32"/>
          <w:szCs w:val="32"/>
        </w:rPr>
      </w:pPr>
      <w:r w:rsidRPr="00525E0D">
        <w:rPr>
          <w:b/>
          <w:sz w:val="32"/>
          <w:szCs w:val="32"/>
        </w:rPr>
        <w:t xml:space="preserve">The </w:t>
      </w:r>
      <w:r w:rsidR="000B3788" w:rsidRPr="00525E0D">
        <w:rPr>
          <w:b/>
          <w:sz w:val="32"/>
          <w:szCs w:val="32"/>
        </w:rPr>
        <w:t>Govern</w:t>
      </w:r>
      <w:r w:rsidRPr="00525E0D">
        <w:rPr>
          <w:b/>
          <w:sz w:val="32"/>
          <w:szCs w:val="32"/>
        </w:rPr>
        <w:t>ance of</w:t>
      </w:r>
      <w:r w:rsidR="000B3788" w:rsidRPr="00525E0D">
        <w:rPr>
          <w:b/>
          <w:sz w:val="32"/>
          <w:szCs w:val="32"/>
        </w:rPr>
        <w:t xml:space="preserve"> Wellington: </w:t>
      </w:r>
      <w:r w:rsidR="00E5253B" w:rsidRPr="00525E0D">
        <w:rPr>
          <w:b/>
          <w:sz w:val="32"/>
          <w:szCs w:val="32"/>
        </w:rPr>
        <w:t xml:space="preserve">Revisiting the </w:t>
      </w:r>
      <w:r w:rsidR="00594430">
        <w:rPr>
          <w:b/>
          <w:sz w:val="32"/>
          <w:szCs w:val="32"/>
        </w:rPr>
        <w:t>Basis</w:t>
      </w:r>
      <w:r w:rsidR="00E5253B" w:rsidRPr="00525E0D">
        <w:rPr>
          <w:b/>
          <w:sz w:val="32"/>
          <w:szCs w:val="32"/>
        </w:rPr>
        <w:t xml:space="preserve"> for Change</w:t>
      </w:r>
    </w:p>
    <w:p w:rsidR="00392E4A" w:rsidRDefault="00392E4A" w:rsidP="009A378B">
      <w:pPr>
        <w:spacing w:after="0"/>
        <w:rPr>
          <w:b/>
          <w:sz w:val="24"/>
          <w:szCs w:val="24"/>
        </w:rPr>
      </w:pPr>
    </w:p>
    <w:p w:rsidR="00392E4A" w:rsidRPr="00392E4A" w:rsidRDefault="00392E4A" w:rsidP="009A378B">
      <w:pPr>
        <w:spacing w:after="0"/>
        <w:rPr>
          <w:b/>
          <w:sz w:val="24"/>
          <w:szCs w:val="24"/>
        </w:rPr>
      </w:pPr>
      <w:r>
        <w:rPr>
          <w:b/>
          <w:sz w:val="24"/>
          <w:szCs w:val="24"/>
        </w:rPr>
        <w:t>Graham Sansom</w:t>
      </w:r>
      <w:r>
        <w:rPr>
          <w:rStyle w:val="FootnoteReference"/>
          <w:b/>
          <w:sz w:val="24"/>
          <w:szCs w:val="24"/>
        </w:rPr>
        <w:footnoteReference w:id="1"/>
      </w:r>
    </w:p>
    <w:p w:rsidR="00392E4A" w:rsidRPr="00825558" w:rsidRDefault="00392E4A" w:rsidP="009A378B">
      <w:pPr>
        <w:spacing w:after="0"/>
        <w:rPr>
          <w:b/>
          <w:sz w:val="28"/>
          <w:szCs w:val="28"/>
        </w:rPr>
      </w:pPr>
    </w:p>
    <w:p w:rsidR="00146024" w:rsidRDefault="00897001" w:rsidP="009A378B">
      <w:pPr>
        <w:spacing w:after="0"/>
      </w:pPr>
      <w:r>
        <w:t xml:space="preserve">This paper presents an </w:t>
      </w:r>
      <w:r w:rsidR="00941EC8">
        <w:t>outsider’</w:t>
      </w:r>
      <w:r>
        <w:t xml:space="preserve">s </w:t>
      </w:r>
      <w:r w:rsidR="00941EC8">
        <w:t xml:space="preserve">view on the current debate about options for the future governance of Wellington. It does not pretend to offer definitive </w:t>
      </w:r>
      <w:r w:rsidR="00E25CD4">
        <w:t>solutions</w:t>
      </w:r>
      <w:r w:rsidR="00941EC8">
        <w:t xml:space="preserve">: the issues being raised are complex and require both detailed analysis and a close familiarity with what may work and what won’t. However, it does seem possible to canvass some </w:t>
      </w:r>
      <w:r w:rsidR="00146024">
        <w:t xml:space="preserve">fresh (or at least slightly different) </w:t>
      </w:r>
      <w:r w:rsidR="00941EC8">
        <w:t xml:space="preserve">perspectives and ideas that </w:t>
      </w:r>
      <w:r w:rsidR="00146024">
        <w:t xml:space="preserve">may warrant further consideration. </w:t>
      </w:r>
    </w:p>
    <w:p w:rsidR="00146024" w:rsidRDefault="00146024" w:rsidP="009A378B">
      <w:pPr>
        <w:spacing w:after="0"/>
      </w:pPr>
    </w:p>
    <w:p w:rsidR="00941EC8" w:rsidRDefault="00146024" w:rsidP="009A378B">
      <w:pPr>
        <w:spacing w:after="0"/>
      </w:pPr>
      <w:r>
        <w:t xml:space="preserve">In debates such as this, when </w:t>
      </w:r>
      <w:r w:rsidR="00641FD4">
        <w:t>a number of key</w:t>
      </w:r>
      <w:r>
        <w:t xml:space="preserve"> protagonists </w:t>
      </w:r>
      <w:r w:rsidR="00641FD4">
        <w:t xml:space="preserve">and contributors </w:t>
      </w:r>
      <w:r>
        <w:t xml:space="preserve">have been involved with the issues for a long time, there can be a tendency to assume fixed starting points for discussion. An outsider may be in a better position to test underlying assumptions and suggest alternative ways forward. The questions </w:t>
      </w:r>
      <w:r w:rsidR="00641FD4">
        <w:t xml:space="preserve">and possibilities </w:t>
      </w:r>
      <w:r>
        <w:t xml:space="preserve">canvassed in this paper are thus intended to help </w:t>
      </w:r>
      <w:proofErr w:type="spellStart"/>
      <w:r>
        <w:t>Wellingtonians</w:t>
      </w:r>
      <w:proofErr w:type="spellEnd"/>
      <w:r>
        <w:t xml:space="preserve"> come up with their own ‘right’ answers.</w:t>
      </w:r>
    </w:p>
    <w:p w:rsidR="009A378B" w:rsidRDefault="009A378B" w:rsidP="009A378B">
      <w:pPr>
        <w:spacing w:after="0"/>
      </w:pPr>
    </w:p>
    <w:p w:rsidR="00516F9A" w:rsidRDefault="00516F9A" w:rsidP="009A378B">
      <w:pPr>
        <w:spacing w:after="0"/>
      </w:pPr>
    </w:p>
    <w:p w:rsidR="001A5666" w:rsidRPr="00525E0D" w:rsidRDefault="007F6C48" w:rsidP="009A378B">
      <w:pPr>
        <w:spacing w:after="0"/>
        <w:rPr>
          <w:b/>
          <w:sz w:val="28"/>
          <w:szCs w:val="28"/>
        </w:rPr>
      </w:pPr>
      <w:r w:rsidRPr="00525E0D">
        <w:rPr>
          <w:b/>
          <w:sz w:val="28"/>
          <w:szCs w:val="28"/>
        </w:rPr>
        <w:t>1.</w:t>
      </w:r>
      <w:r w:rsidRPr="00525E0D">
        <w:rPr>
          <w:b/>
          <w:sz w:val="28"/>
          <w:szCs w:val="28"/>
        </w:rPr>
        <w:tab/>
      </w:r>
      <w:r w:rsidR="001A5666" w:rsidRPr="00525E0D">
        <w:rPr>
          <w:b/>
          <w:sz w:val="28"/>
          <w:szCs w:val="28"/>
        </w:rPr>
        <w:t>Drivers for Change</w:t>
      </w:r>
    </w:p>
    <w:p w:rsidR="001A5666" w:rsidRDefault="001A5666" w:rsidP="009A378B">
      <w:pPr>
        <w:spacing w:after="0"/>
      </w:pPr>
    </w:p>
    <w:p w:rsidR="007F6C48" w:rsidRDefault="007F6C48" w:rsidP="009A378B">
      <w:pPr>
        <w:spacing w:after="0"/>
      </w:pPr>
      <w:r>
        <w:t xml:space="preserve">There is a widespread view that pressures are mounting for significant change to current governance </w:t>
      </w:r>
      <w:proofErr w:type="gramStart"/>
      <w:r>
        <w:t>arrangements</w:t>
      </w:r>
      <w:proofErr w:type="gramEnd"/>
      <w:r>
        <w:t xml:space="preserve"> for the Wellington region. These pressures have been discussed in a number of recent reports, notably:</w:t>
      </w:r>
    </w:p>
    <w:p w:rsidR="007F6C48" w:rsidRDefault="007F6C48" w:rsidP="009A378B">
      <w:pPr>
        <w:spacing w:after="0"/>
      </w:pPr>
    </w:p>
    <w:p w:rsidR="007F6C48" w:rsidRDefault="007F6C48" w:rsidP="009A378B">
      <w:pPr>
        <w:pStyle w:val="ListParagraph"/>
        <w:numPr>
          <w:ilvl w:val="0"/>
          <w:numId w:val="3"/>
        </w:numPr>
        <w:spacing w:after="0"/>
      </w:pPr>
      <w:r>
        <w:t xml:space="preserve">‘Governance Review’ prepared for Wellington Region Councils by </w:t>
      </w:r>
      <w:proofErr w:type="spellStart"/>
      <w:r>
        <w:t>PriceWaterhouseCoopers</w:t>
      </w:r>
      <w:proofErr w:type="spellEnd"/>
      <w:r>
        <w:t xml:space="preserve"> in October 2010</w:t>
      </w:r>
    </w:p>
    <w:p w:rsidR="007F6C48" w:rsidRPr="007F6C48" w:rsidRDefault="007F6C48" w:rsidP="009A378B">
      <w:pPr>
        <w:pStyle w:val="ListParagraph"/>
        <w:numPr>
          <w:ilvl w:val="0"/>
          <w:numId w:val="3"/>
        </w:numPr>
        <w:autoSpaceDE w:val="0"/>
        <w:autoSpaceDN w:val="0"/>
        <w:adjustRightInd w:val="0"/>
        <w:spacing w:after="0"/>
      </w:pPr>
      <w:r>
        <w:rPr>
          <w:rFonts w:cs="Times New Roman"/>
          <w:bCs/>
        </w:rPr>
        <w:t>‘</w:t>
      </w:r>
      <w:r w:rsidRPr="007F6C48">
        <w:rPr>
          <w:rFonts w:cs="Times New Roman"/>
          <w:bCs/>
        </w:rPr>
        <w:t>Some ideas on local government reform in Wellington -</w:t>
      </w:r>
      <w:r>
        <w:rPr>
          <w:rFonts w:cs="Times New Roman"/>
          <w:bCs/>
        </w:rPr>
        <w:t xml:space="preserve"> </w:t>
      </w:r>
      <w:proofErr w:type="spellStart"/>
      <w:r w:rsidRPr="007F6C48">
        <w:rPr>
          <w:rFonts w:cs="Times New Roman"/>
          <w:bCs/>
        </w:rPr>
        <w:t>neighbourhood</w:t>
      </w:r>
      <w:proofErr w:type="spellEnd"/>
      <w:r w:rsidRPr="007F6C48">
        <w:rPr>
          <w:rFonts w:cs="Times New Roman"/>
          <w:bCs/>
        </w:rPr>
        <w:t xml:space="preserve"> decisions with pan-regional strategy</w:t>
      </w:r>
      <w:r>
        <w:rPr>
          <w:rFonts w:cs="Times New Roman"/>
          <w:bCs/>
        </w:rPr>
        <w:t xml:space="preserve">’ prepared by a group of Wellington Regional </w:t>
      </w:r>
      <w:proofErr w:type="spellStart"/>
      <w:r>
        <w:rPr>
          <w:rFonts w:cs="Times New Roman"/>
          <w:bCs/>
        </w:rPr>
        <w:t>Councillors</w:t>
      </w:r>
      <w:proofErr w:type="spellEnd"/>
      <w:r>
        <w:rPr>
          <w:rFonts w:cs="Times New Roman"/>
          <w:bCs/>
        </w:rPr>
        <w:t xml:space="preserve"> in 2011</w:t>
      </w:r>
    </w:p>
    <w:p w:rsidR="007F6C48" w:rsidRPr="005D4B82" w:rsidRDefault="007F6C48" w:rsidP="009A378B">
      <w:pPr>
        <w:pStyle w:val="ListParagraph"/>
        <w:numPr>
          <w:ilvl w:val="0"/>
          <w:numId w:val="3"/>
        </w:numPr>
        <w:autoSpaceDE w:val="0"/>
        <w:autoSpaceDN w:val="0"/>
        <w:adjustRightInd w:val="0"/>
        <w:spacing w:after="0"/>
      </w:pPr>
      <w:r>
        <w:rPr>
          <w:rFonts w:cs="Arial Narrow"/>
          <w:bCs/>
          <w:iCs/>
        </w:rPr>
        <w:t>‘</w:t>
      </w:r>
      <w:r w:rsidRPr="007F6C48">
        <w:rPr>
          <w:rFonts w:cs="Arial Narrow"/>
          <w:bCs/>
          <w:iCs/>
        </w:rPr>
        <w:t>Assessment of options for joint management and service delivery</w:t>
      </w:r>
      <w:r>
        <w:rPr>
          <w:rFonts w:cs="Arial Narrow"/>
          <w:bCs/>
          <w:iCs/>
        </w:rPr>
        <w:t xml:space="preserve">’ prepared for the three </w:t>
      </w:r>
      <w:proofErr w:type="spellStart"/>
      <w:r>
        <w:rPr>
          <w:rFonts w:cs="Arial Narrow"/>
          <w:bCs/>
          <w:iCs/>
        </w:rPr>
        <w:t>Wairarapa</w:t>
      </w:r>
      <w:proofErr w:type="spellEnd"/>
      <w:r>
        <w:rPr>
          <w:rFonts w:cs="Arial Narrow"/>
          <w:bCs/>
          <w:iCs/>
        </w:rPr>
        <w:t xml:space="preserve"> councils by </w:t>
      </w:r>
      <w:proofErr w:type="spellStart"/>
      <w:r>
        <w:rPr>
          <w:rFonts w:cs="Arial Narrow"/>
          <w:bCs/>
          <w:iCs/>
        </w:rPr>
        <w:t>MorrisonLow</w:t>
      </w:r>
      <w:proofErr w:type="spellEnd"/>
      <w:r>
        <w:rPr>
          <w:rFonts w:cs="Arial Narrow"/>
          <w:bCs/>
          <w:iCs/>
        </w:rPr>
        <w:t xml:space="preserve"> in May 2012</w:t>
      </w:r>
    </w:p>
    <w:p w:rsidR="005D4B82" w:rsidRPr="005D4B82" w:rsidRDefault="005D4B82" w:rsidP="009A378B">
      <w:pPr>
        <w:pStyle w:val="ListParagraph"/>
        <w:numPr>
          <w:ilvl w:val="0"/>
          <w:numId w:val="3"/>
        </w:numPr>
        <w:autoSpaceDE w:val="0"/>
        <w:autoSpaceDN w:val="0"/>
        <w:adjustRightInd w:val="0"/>
        <w:spacing w:after="0"/>
      </w:pPr>
      <w:r>
        <w:rPr>
          <w:rFonts w:cs="Arial Narrow"/>
          <w:bCs/>
          <w:iCs/>
        </w:rPr>
        <w:t xml:space="preserve">‘Local Government Reform in Wellington – What do You Think?’ </w:t>
      </w:r>
      <w:r w:rsidR="00AF36AC">
        <w:rPr>
          <w:rFonts w:cs="Arial Narrow"/>
          <w:bCs/>
          <w:iCs/>
        </w:rPr>
        <w:t>issued</w:t>
      </w:r>
      <w:r>
        <w:rPr>
          <w:rFonts w:cs="Arial Narrow"/>
          <w:bCs/>
          <w:iCs/>
        </w:rPr>
        <w:t xml:space="preserve"> by Wellington City Council in </w:t>
      </w:r>
      <w:proofErr w:type="spellStart"/>
      <w:r>
        <w:rPr>
          <w:rFonts w:cs="Arial Narrow"/>
          <w:bCs/>
          <w:iCs/>
        </w:rPr>
        <w:t>mid 2012</w:t>
      </w:r>
      <w:proofErr w:type="spellEnd"/>
      <w:r>
        <w:rPr>
          <w:rFonts w:cs="Arial Narrow"/>
          <w:bCs/>
          <w:iCs/>
        </w:rPr>
        <w:t>.</w:t>
      </w:r>
    </w:p>
    <w:p w:rsidR="005D4B82" w:rsidRDefault="005D4B82" w:rsidP="009A378B">
      <w:pPr>
        <w:autoSpaceDE w:val="0"/>
        <w:autoSpaceDN w:val="0"/>
        <w:adjustRightInd w:val="0"/>
        <w:spacing w:after="0"/>
      </w:pPr>
    </w:p>
    <w:p w:rsidR="005D4B82" w:rsidRDefault="005D4B82" w:rsidP="009A378B">
      <w:pPr>
        <w:autoSpaceDE w:val="0"/>
        <w:autoSpaceDN w:val="0"/>
        <w:adjustRightInd w:val="0"/>
        <w:spacing w:after="0"/>
      </w:pPr>
      <w:r>
        <w:t>Amongst the various factors discussed, the principal pressures cited are:</w:t>
      </w:r>
    </w:p>
    <w:p w:rsidR="005D4B82" w:rsidRDefault="005D4B82" w:rsidP="009A378B">
      <w:pPr>
        <w:autoSpaceDE w:val="0"/>
        <w:autoSpaceDN w:val="0"/>
        <w:adjustRightInd w:val="0"/>
        <w:spacing w:after="0"/>
      </w:pPr>
    </w:p>
    <w:p w:rsidR="005D4B82" w:rsidRDefault="005D4B82" w:rsidP="009A378B">
      <w:pPr>
        <w:pStyle w:val="ListParagraph"/>
        <w:numPr>
          <w:ilvl w:val="0"/>
          <w:numId w:val="4"/>
        </w:numPr>
        <w:autoSpaceDE w:val="0"/>
        <w:autoSpaceDN w:val="0"/>
        <w:adjustRightInd w:val="0"/>
        <w:spacing w:after="0"/>
      </w:pPr>
      <w:r>
        <w:t>The ‘Auckland effect’ – the potential for the ‘powered up’ Auckland region with its new ‘super city’ council to attract economic development and the attention of central government at the expense of Wellington (and the rest of New Zealand)</w:t>
      </w:r>
    </w:p>
    <w:p w:rsidR="005D4B82" w:rsidRDefault="005D4B82" w:rsidP="009A378B">
      <w:pPr>
        <w:pStyle w:val="ListParagraph"/>
        <w:numPr>
          <w:ilvl w:val="0"/>
          <w:numId w:val="4"/>
        </w:numPr>
        <w:autoSpaceDE w:val="0"/>
        <w:autoSpaceDN w:val="0"/>
        <w:adjustRightInd w:val="0"/>
        <w:spacing w:after="0"/>
      </w:pPr>
      <w:r>
        <w:t xml:space="preserve">Fragmented and less than optimal strategic planning, infrastructure provision and service delivery under the current arrangement of 8 territorial </w:t>
      </w:r>
      <w:r w:rsidR="00364341">
        <w:t>authorities</w:t>
      </w:r>
      <w:r>
        <w:t xml:space="preserve"> and a regional council</w:t>
      </w:r>
    </w:p>
    <w:p w:rsidR="00364341" w:rsidRDefault="00364341" w:rsidP="009A378B">
      <w:pPr>
        <w:pStyle w:val="ListParagraph"/>
        <w:numPr>
          <w:ilvl w:val="0"/>
          <w:numId w:val="4"/>
        </w:numPr>
        <w:autoSpaceDE w:val="0"/>
        <w:autoSpaceDN w:val="0"/>
        <w:adjustRightInd w:val="0"/>
        <w:spacing w:after="0"/>
      </w:pPr>
      <w:r>
        <w:lastRenderedPageBreak/>
        <w:t xml:space="preserve">Limited prospects for economic and population growth in the </w:t>
      </w:r>
      <w:proofErr w:type="spellStart"/>
      <w:r>
        <w:t>Wairarapa</w:t>
      </w:r>
      <w:proofErr w:type="spellEnd"/>
      <w:r>
        <w:t>, which is governed by three relatively small (in population) territorial authorities</w:t>
      </w:r>
      <w:r w:rsidR="00525E0D">
        <w:t xml:space="preserve"> (see Table 1)</w:t>
      </w:r>
      <w:r>
        <w:t xml:space="preserve"> </w:t>
      </w:r>
    </w:p>
    <w:p w:rsidR="005D4B82" w:rsidRDefault="005D4B82" w:rsidP="009A378B">
      <w:pPr>
        <w:pStyle w:val="ListParagraph"/>
        <w:numPr>
          <w:ilvl w:val="0"/>
          <w:numId w:val="4"/>
        </w:numPr>
        <w:autoSpaceDE w:val="0"/>
        <w:autoSpaceDN w:val="0"/>
        <w:adjustRightInd w:val="0"/>
        <w:spacing w:after="0"/>
      </w:pPr>
      <w:r>
        <w:t>Central government reform initiatives, notably proposals for a streamlined amalgamation process as part of the latest ‘Better Local Government’ package</w:t>
      </w:r>
      <w:r w:rsidR="00F92D58">
        <w:t>.</w:t>
      </w:r>
      <w:r>
        <w:t xml:space="preserve">  </w:t>
      </w:r>
    </w:p>
    <w:p w:rsidR="005D4B82" w:rsidRDefault="005D4B82" w:rsidP="009A378B">
      <w:pPr>
        <w:autoSpaceDE w:val="0"/>
        <w:autoSpaceDN w:val="0"/>
        <w:adjustRightInd w:val="0"/>
        <w:spacing w:after="0"/>
      </w:pPr>
    </w:p>
    <w:p w:rsidR="005D4B82" w:rsidRDefault="00364341" w:rsidP="009A378B">
      <w:pPr>
        <w:autoSpaceDE w:val="0"/>
        <w:autoSpaceDN w:val="0"/>
        <w:adjustRightInd w:val="0"/>
        <w:spacing w:after="0"/>
        <w:rPr>
          <w:rFonts w:cs="TimesNewRomanPSMT"/>
        </w:rPr>
      </w:pPr>
      <w:r>
        <w:t xml:space="preserve">Consideration of these </w:t>
      </w:r>
      <w:r w:rsidR="00244BB0">
        <w:t>issues</w:t>
      </w:r>
      <w:r>
        <w:t xml:space="preserve"> has led the Greater Wellington Regional Council and the </w:t>
      </w:r>
      <w:proofErr w:type="spellStart"/>
      <w:r>
        <w:t>Porirua</w:t>
      </w:r>
      <w:proofErr w:type="spellEnd"/>
      <w:r>
        <w:t xml:space="preserve"> Council to appoint an independent </w:t>
      </w:r>
      <w:r>
        <w:rPr>
          <w:rFonts w:ascii="Calibri" w:eastAsia="Calibri" w:hAnsi="Calibri" w:cs="Times New Roman"/>
        </w:rPr>
        <w:t xml:space="preserve">Wellington Region Review Panel, </w:t>
      </w:r>
      <w:r>
        <w:t xml:space="preserve">under the chairmanship of Sir </w:t>
      </w:r>
      <w:r>
        <w:rPr>
          <w:rFonts w:ascii="Calibri" w:eastAsia="Calibri" w:hAnsi="Calibri" w:cs="Times New Roman"/>
        </w:rPr>
        <w:t>Geoffrey Palmer</w:t>
      </w:r>
      <w:r>
        <w:t xml:space="preserve"> to </w:t>
      </w:r>
      <w:r w:rsidRPr="00364341">
        <w:t>“a</w:t>
      </w:r>
      <w:r w:rsidRPr="00364341">
        <w:rPr>
          <w:rFonts w:cs="TimesNewRomanPSMT"/>
        </w:rPr>
        <w:t>ssess possible local government options for the Wellington region and identify an optimal one, which may include either structural and/or functional changes.”</w:t>
      </w:r>
    </w:p>
    <w:p w:rsidR="00244BB0" w:rsidRDefault="00244BB0" w:rsidP="009A378B">
      <w:pPr>
        <w:autoSpaceDE w:val="0"/>
        <w:autoSpaceDN w:val="0"/>
        <w:adjustRightInd w:val="0"/>
        <w:spacing w:after="0"/>
        <w:rPr>
          <w:rFonts w:cs="TimesNewRomanPSMT"/>
        </w:rPr>
      </w:pPr>
    </w:p>
    <w:p w:rsidR="00244BB0" w:rsidRPr="00364341" w:rsidRDefault="00244BB0" w:rsidP="009A378B">
      <w:pPr>
        <w:autoSpaceDE w:val="0"/>
        <w:autoSpaceDN w:val="0"/>
        <w:adjustRightInd w:val="0"/>
        <w:spacing w:after="0"/>
        <w:rPr>
          <w:rFonts w:cs="TimesNewRomanPSMT"/>
        </w:rPr>
      </w:pPr>
      <w:r>
        <w:rPr>
          <w:rFonts w:cs="TimesNewRomanPSMT"/>
        </w:rPr>
        <w:t xml:space="preserve">At the same time, Wellington City Council has launched a major public consultation based on four options for governance improvement: increased regional collaboration and shared services; </w:t>
      </w:r>
      <w:r w:rsidR="00897001">
        <w:rPr>
          <w:rFonts w:cs="TimesNewRomanPSMT"/>
        </w:rPr>
        <w:t>three unitary councils (Wellington-</w:t>
      </w:r>
      <w:proofErr w:type="spellStart"/>
      <w:r w:rsidR="00897001">
        <w:rPr>
          <w:rFonts w:cs="TimesNewRomanPSMT"/>
        </w:rPr>
        <w:t>Porirua</w:t>
      </w:r>
      <w:proofErr w:type="spellEnd"/>
      <w:r w:rsidR="00897001">
        <w:rPr>
          <w:rFonts w:cs="TimesNewRomanPSMT"/>
        </w:rPr>
        <w:t>-</w:t>
      </w:r>
      <w:proofErr w:type="spellStart"/>
      <w:r w:rsidR="00897001">
        <w:rPr>
          <w:rFonts w:cs="TimesNewRomanPSMT"/>
        </w:rPr>
        <w:t>Kapiti</w:t>
      </w:r>
      <w:proofErr w:type="spellEnd"/>
      <w:r w:rsidR="00897001">
        <w:rPr>
          <w:rFonts w:cs="TimesNewRomanPSMT"/>
        </w:rPr>
        <w:t xml:space="preserve">, Hutt Valley, and </w:t>
      </w:r>
      <w:proofErr w:type="spellStart"/>
      <w:r w:rsidR="00897001">
        <w:rPr>
          <w:rFonts w:cs="TimesNewRomanPSMT"/>
        </w:rPr>
        <w:t>Wairarapa</w:t>
      </w:r>
      <w:proofErr w:type="spellEnd"/>
      <w:r w:rsidR="00897001">
        <w:rPr>
          <w:rFonts w:cs="TimesNewRomanPSMT"/>
        </w:rPr>
        <w:t>); two unitary councils (</w:t>
      </w:r>
      <w:proofErr w:type="spellStart"/>
      <w:r w:rsidR="00897001">
        <w:rPr>
          <w:rFonts w:cs="TimesNewRomanPSMT"/>
        </w:rPr>
        <w:t>Wairarapa</w:t>
      </w:r>
      <w:proofErr w:type="spellEnd"/>
      <w:r w:rsidR="00897001">
        <w:rPr>
          <w:rFonts w:cs="TimesNewRomanPSMT"/>
        </w:rPr>
        <w:t xml:space="preserve"> and the rest of Greater Wellington); or a single regional council with 10 local boards.</w:t>
      </w:r>
    </w:p>
    <w:p w:rsidR="00364341" w:rsidRDefault="00364341" w:rsidP="009A378B">
      <w:pPr>
        <w:autoSpaceDE w:val="0"/>
        <w:autoSpaceDN w:val="0"/>
        <w:adjustRightInd w:val="0"/>
        <w:spacing w:after="0"/>
      </w:pPr>
    </w:p>
    <w:p w:rsidR="00525E0D" w:rsidRPr="008A552A" w:rsidRDefault="00525E0D" w:rsidP="00525E0D">
      <w:pPr>
        <w:autoSpaceDE w:val="0"/>
        <w:autoSpaceDN w:val="0"/>
        <w:adjustRightInd w:val="0"/>
        <w:spacing w:after="0"/>
        <w:rPr>
          <w:b/>
        </w:rPr>
      </w:pPr>
      <w:r w:rsidRPr="008A552A">
        <w:rPr>
          <w:b/>
        </w:rPr>
        <w:t xml:space="preserve">Table 1: </w:t>
      </w:r>
      <w:r>
        <w:rPr>
          <w:b/>
        </w:rPr>
        <w:t xml:space="preserve">Medium </w:t>
      </w:r>
      <w:r w:rsidRPr="008A552A">
        <w:rPr>
          <w:b/>
        </w:rPr>
        <w:t>Population Projections to 2031</w:t>
      </w:r>
    </w:p>
    <w:p w:rsidR="00525E0D" w:rsidRDefault="00525E0D" w:rsidP="00525E0D">
      <w:pPr>
        <w:autoSpaceDE w:val="0"/>
        <w:autoSpaceDN w:val="0"/>
        <w:adjustRightInd w:val="0"/>
        <w:spacing w:after="0"/>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284" w:type="dxa"/>
        </w:tblCellMar>
        <w:tblLook w:val="04A0" w:firstRow="1" w:lastRow="0" w:firstColumn="1" w:lastColumn="0" w:noHBand="0" w:noVBand="1"/>
      </w:tblPr>
      <w:tblGrid>
        <w:gridCol w:w="2417"/>
        <w:gridCol w:w="1426"/>
        <w:gridCol w:w="1417"/>
        <w:gridCol w:w="1701"/>
        <w:gridCol w:w="1559"/>
      </w:tblGrid>
      <w:tr w:rsidR="00525E0D" w:rsidRPr="009F6957" w:rsidTr="00650986">
        <w:trPr>
          <w:trHeight w:val="283"/>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r w:rsidRPr="009F6957">
              <w:rPr>
                <w:rFonts w:ascii="Arial" w:eastAsia="Times New Roman" w:hAnsi="Arial" w:cs="Arial"/>
                <w:b/>
                <w:sz w:val="20"/>
                <w:szCs w:val="20"/>
              </w:rPr>
              <w:t>Area</w:t>
            </w:r>
          </w:p>
        </w:tc>
        <w:tc>
          <w:tcPr>
            <w:tcW w:w="1418" w:type="dxa"/>
            <w:shd w:val="clear" w:color="auto" w:fill="auto"/>
            <w:noWrap/>
            <w:vAlign w:val="center"/>
            <w:hideMark/>
          </w:tcPr>
          <w:p w:rsidR="00525E0D" w:rsidRPr="009F6957" w:rsidRDefault="00525E0D" w:rsidP="00650986">
            <w:pPr>
              <w:spacing w:after="0" w:line="240" w:lineRule="auto"/>
              <w:jc w:val="right"/>
              <w:rPr>
                <w:rFonts w:ascii="Arial" w:eastAsia="Times New Roman" w:hAnsi="Arial" w:cs="Arial"/>
                <w:b/>
                <w:sz w:val="20"/>
                <w:szCs w:val="20"/>
              </w:rPr>
            </w:pPr>
            <w:r w:rsidRPr="009F6957">
              <w:rPr>
                <w:rFonts w:ascii="Arial" w:eastAsia="Times New Roman" w:hAnsi="Arial" w:cs="Arial"/>
                <w:b/>
                <w:sz w:val="20"/>
                <w:szCs w:val="20"/>
              </w:rPr>
              <w:t>Population 2006</w:t>
            </w:r>
          </w:p>
        </w:tc>
        <w:tc>
          <w:tcPr>
            <w:tcW w:w="1417" w:type="dxa"/>
            <w:shd w:val="clear" w:color="auto" w:fill="auto"/>
            <w:noWrap/>
            <w:vAlign w:val="center"/>
            <w:hideMark/>
          </w:tcPr>
          <w:p w:rsidR="00525E0D" w:rsidRPr="009F6957" w:rsidRDefault="00525E0D" w:rsidP="00650986">
            <w:pPr>
              <w:spacing w:after="0" w:line="240" w:lineRule="auto"/>
              <w:jc w:val="right"/>
              <w:rPr>
                <w:rFonts w:ascii="Arial" w:eastAsia="Times New Roman" w:hAnsi="Arial" w:cs="Arial"/>
                <w:b/>
                <w:sz w:val="20"/>
                <w:szCs w:val="20"/>
              </w:rPr>
            </w:pPr>
            <w:r w:rsidRPr="009F6957">
              <w:rPr>
                <w:rFonts w:ascii="Arial" w:eastAsia="Times New Roman" w:hAnsi="Arial" w:cs="Arial"/>
                <w:b/>
                <w:sz w:val="20"/>
                <w:szCs w:val="20"/>
              </w:rPr>
              <w:t>Projection 2031</w:t>
            </w:r>
          </w:p>
        </w:tc>
        <w:tc>
          <w:tcPr>
            <w:tcW w:w="1701" w:type="dxa"/>
            <w:shd w:val="clear" w:color="auto" w:fill="auto"/>
            <w:noWrap/>
            <w:vAlign w:val="center"/>
            <w:hideMark/>
          </w:tcPr>
          <w:p w:rsidR="00525E0D" w:rsidRPr="009F6957" w:rsidRDefault="00525E0D" w:rsidP="00650986">
            <w:pPr>
              <w:spacing w:after="0" w:line="240" w:lineRule="auto"/>
              <w:jc w:val="right"/>
              <w:rPr>
                <w:rFonts w:ascii="Arial" w:eastAsia="Times New Roman" w:hAnsi="Arial" w:cs="Arial"/>
                <w:b/>
                <w:sz w:val="20"/>
                <w:szCs w:val="20"/>
              </w:rPr>
            </w:pPr>
            <w:r w:rsidRPr="009F6957">
              <w:rPr>
                <w:rFonts w:ascii="Arial" w:eastAsia="Times New Roman" w:hAnsi="Arial" w:cs="Arial"/>
                <w:b/>
                <w:sz w:val="20"/>
                <w:szCs w:val="20"/>
              </w:rPr>
              <w:t>Absolute Change</w:t>
            </w:r>
          </w:p>
        </w:tc>
        <w:tc>
          <w:tcPr>
            <w:tcW w:w="1559" w:type="dxa"/>
            <w:shd w:val="clear" w:color="auto" w:fill="auto"/>
            <w:noWrap/>
            <w:vAlign w:val="center"/>
            <w:hideMark/>
          </w:tcPr>
          <w:p w:rsidR="00525E0D" w:rsidRPr="009F6957" w:rsidRDefault="00525E0D" w:rsidP="00650986">
            <w:pPr>
              <w:spacing w:after="0" w:line="240" w:lineRule="auto"/>
              <w:jc w:val="right"/>
              <w:rPr>
                <w:rFonts w:ascii="Arial" w:eastAsia="Times New Roman" w:hAnsi="Arial" w:cs="Arial"/>
                <w:b/>
                <w:sz w:val="20"/>
                <w:szCs w:val="20"/>
              </w:rPr>
            </w:pPr>
            <w:r>
              <w:rPr>
                <w:rFonts w:ascii="Arial" w:eastAsia="Times New Roman" w:hAnsi="Arial" w:cs="Arial"/>
                <w:b/>
                <w:sz w:val="20"/>
                <w:szCs w:val="20"/>
              </w:rPr>
              <w:t>Average Annual</w:t>
            </w:r>
            <w:r w:rsidRPr="009F6957">
              <w:rPr>
                <w:rFonts w:ascii="Arial" w:eastAsia="Times New Roman" w:hAnsi="Arial" w:cs="Arial"/>
                <w:b/>
                <w:sz w:val="20"/>
                <w:szCs w:val="20"/>
              </w:rPr>
              <w:t xml:space="preserve"> Change</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proofErr w:type="spellStart"/>
            <w:r w:rsidRPr="009F6957">
              <w:rPr>
                <w:rFonts w:ascii="Arial" w:eastAsia="Times New Roman" w:hAnsi="Arial" w:cs="Arial"/>
                <w:b/>
                <w:sz w:val="20"/>
                <w:szCs w:val="20"/>
              </w:rPr>
              <w:t>Kapiti</w:t>
            </w:r>
            <w:proofErr w:type="spellEnd"/>
            <w:r w:rsidRPr="009F6957">
              <w:rPr>
                <w:rFonts w:ascii="Arial" w:eastAsia="Times New Roman" w:hAnsi="Arial" w:cs="Arial"/>
                <w:b/>
                <w:sz w:val="20"/>
                <w:szCs w:val="20"/>
              </w:rPr>
              <w:t xml:space="preserve"> Coast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47,500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60,900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13,400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w:t>
            </w:r>
            <w:r w:rsidR="00F92D58">
              <w:rPr>
                <w:rFonts w:ascii="Arial" w:eastAsia="Times New Roman" w:hAnsi="Arial" w:cs="Arial"/>
                <w:sz w:val="20"/>
                <w:szCs w:val="20"/>
              </w:rPr>
              <w:t>.0</w:t>
            </w:r>
            <w:r>
              <w:rPr>
                <w:rFonts w:ascii="Arial" w:eastAsia="Times New Roman" w:hAnsi="Arial" w:cs="Arial"/>
                <w:sz w:val="20"/>
                <w:szCs w:val="20"/>
              </w:rPr>
              <w:t>%</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proofErr w:type="spellStart"/>
            <w:r w:rsidRPr="009F6957">
              <w:rPr>
                <w:rFonts w:ascii="Arial" w:eastAsia="Times New Roman" w:hAnsi="Arial" w:cs="Arial"/>
                <w:b/>
                <w:sz w:val="20"/>
                <w:szCs w:val="20"/>
              </w:rPr>
              <w:t>Porirua</w:t>
            </w:r>
            <w:proofErr w:type="spellEnd"/>
            <w:r w:rsidRPr="009F6957">
              <w:rPr>
                <w:rFonts w:ascii="Arial" w:eastAsia="Times New Roman" w:hAnsi="Arial" w:cs="Arial"/>
                <w:b/>
                <w:sz w:val="20"/>
                <w:szCs w:val="20"/>
              </w:rPr>
              <w:t xml:space="preserve">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50,600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55,600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4,900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0.4</w:t>
            </w:r>
            <w:r>
              <w:rPr>
                <w:rFonts w:ascii="Arial" w:eastAsia="Times New Roman" w:hAnsi="Arial" w:cs="Arial"/>
                <w:sz w:val="20"/>
                <w:szCs w:val="20"/>
              </w:rPr>
              <w:t>%</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r w:rsidRPr="009F6957">
              <w:rPr>
                <w:rFonts w:ascii="Arial" w:eastAsia="Times New Roman" w:hAnsi="Arial" w:cs="Arial"/>
                <w:b/>
                <w:sz w:val="20"/>
                <w:szCs w:val="20"/>
              </w:rPr>
              <w:t xml:space="preserve">Upper Hutt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39,700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41,800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2,100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0.2</w:t>
            </w:r>
            <w:r>
              <w:rPr>
                <w:rFonts w:ascii="Arial" w:eastAsia="Times New Roman" w:hAnsi="Arial" w:cs="Arial"/>
                <w:sz w:val="20"/>
                <w:szCs w:val="20"/>
              </w:rPr>
              <w:t>5%</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r w:rsidRPr="009F6957">
              <w:rPr>
                <w:rFonts w:ascii="Arial" w:eastAsia="Times New Roman" w:hAnsi="Arial" w:cs="Arial"/>
                <w:b/>
                <w:sz w:val="20"/>
                <w:szCs w:val="20"/>
              </w:rPr>
              <w:t xml:space="preserve">Lower Hutt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101,300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105,100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3,900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0.2</w:t>
            </w:r>
            <w:r>
              <w:rPr>
                <w:rFonts w:ascii="Arial" w:eastAsia="Times New Roman" w:hAnsi="Arial" w:cs="Arial"/>
                <w:sz w:val="20"/>
                <w:szCs w:val="20"/>
              </w:rPr>
              <w:t>5%</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r w:rsidRPr="009F6957">
              <w:rPr>
                <w:rFonts w:ascii="Arial" w:eastAsia="Times New Roman" w:hAnsi="Arial" w:cs="Arial"/>
                <w:b/>
                <w:sz w:val="20"/>
                <w:szCs w:val="20"/>
              </w:rPr>
              <w:t xml:space="preserve">Wellington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187,700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238,700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51,000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1</w:t>
            </w:r>
            <w:r w:rsidR="00F92D58">
              <w:rPr>
                <w:rFonts w:ascii="Arial" w:eastAsia="Times New Roman" w:hAnsi="Arial" w:cs="Arial"/>
                <w:sz w:val="20"/>
                <w:szCs w:val="20"/>
              </w:rPr>
              <w:t>.0</w:t>
            </w:r>
            <w:r>
              <w:rPr>
                <w:rFonts w:ascii="Arial" w:eastAsia="Times New Roman" w:hAnsi="Arial" w:cs="Arial"/>
                <w:sz w:val="20"/>
                <w:szCs w:val="20"/>
              </w:rPr>
              <w:t>%</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proofErr w:type="spellStart"/>
            <w:r w:rsidRPr="009F6957">
              <w:rPr>
                <w:rFonts w:ascii="Arial" w:eastAsia="Times New Roman" w:hAnsi="Arial" w:cs="Arial"/>
                <w:b/>
                <w:sz w:val="20"/>
                <w:szCs w:val="20"/>
              </w:rPr>
              <w:t>Masterton</w:t>
            </w:r>
            <w:proofErr w:type="spellEnd"/>
            <w:r w:rsidRPr="009F6957">
              <w:rPr>
                <w:rFonts w:ascii="Arial" w:eastAsia="Times New Roman" w:hAnsi="Arial" w:cs="Arial"/>
                <w:b/>
                <w:sz w:val="20"/>
                <w:szCs w:val="20"/>
              </w:rPr>
              <w:t xml:space="preserve">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23,200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22,500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-700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-0.1</w:t>
            </w:r>
            <w:r>
              <w:rPr>
                <w:rFonts w:ascii="Arial" w:eastAsia="Times New Roman" w:hAnsi="Arial" w:cs="Arial"/>
                <w:sz w:val="20"/>
                <w:szCs w:val="20"/>
              </w:rPr>
              <w:t>%</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proofErr w:type="spellStart"/>
            <w:r w:rsidRPr="009F6957">
              <w:rPr>
                <w:rFonts w:ascii="Arial" w:eastAsia="Times New Roman" w:hAnsi="Arial" w:cs="Arial"/>
                <w:b/>
                <w:sz w:val="20"/>
                <w:szCs w:val="20"/>
              </w:rPr>
              <w:t>Carterton</w:t>
            </w:r>
            <w:proofErr w:type="spellEnd"/>
            <w:r w:rsidRPr="009F6957">
              <w:rPr>
                <w:rFonts w:ascii="Arial" w:eastAsia="Times New Roman" w:hAnsi="Arial" w:cs="Arial"/>
                <w:b/>
                <w:sz w:val="20"/>
                <w:szCs w:val="20"/>
              </w:rPr>
              <w:t xml:space="preserve">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7,300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7,800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500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0.3</w:t>
            </w:r>
            <w:r>
              <w:rPr>
                <w:rFonts w:ascii="Arial" w:eastAsia="Times New Roman" w:hAnsi="Arial" w:cs="Arial"/>
                <w:sz w:val="20"/>
                <w:szCs w:val="20"/>
              </w:rPr>
              <w:t>%</w:t>
            </w:r>
          </w:p>
        </w:tc>
      </w:tr>
      <w:tr w:rsidR="00525E0D" w:rsidRPr="008A552A" w:rsidTr="00650986">
        <w:trPr>
          <w:trHeight w:val="340"/>
        </w:trPr>
        <w:tc>
          <w:tcPr>
            <w:tcW w:w="2425" w:type="dxa"/>
            <w:shd w:val="clear" w:color="auto" w:fill="auto"/>
            <w:vAlign w:val="center"/>
            <w:hideMark/>
          </w:tcPr>
          <w:p w:rsidR="00525E0D" w:rsidRPr="009F6957" w:rsidRDefault="00525E0D" w:rsidP="00650986">
            <w:pPr>
              <w:spacing w:after="0" w:line="240" w:lineRule="auto"/>
              <w:rPr>
                <w:rFonts w:ascii="Arial" w:eastAsia="Times New Roman" w:hAnsi="Arial" w:cs="Arial"/>
                <w:b/>
                <w:sz w:val="20"/>
                <w:szCs w:val="20"/>
              </w:rPr>
            </w:pPr>
            <w:r w:rsidRPr="009F6957">
              <w:rPr>
                <w:rFonts w:ascii="Arial" w:eastAsia="Times New Roman" w:hAnsi="Arial" w:cs="Arial"/>
                <w:b/>
                <w:sz w:val="20"/>
                <w:szCs w:val="20"/>
              </w:rPr>
              <w:t xml:space="preserve">South </w:t>
            </w:r>
            <w:proofErr w:type="spellStart"/>
            <w:r w:rsidRPr="009F6957">
              <w:rPr>
                <w:rFonts w:ascii="Arial" w:eastAsia="Times New Roman" w:hAnsi="Arial" w:cs="Arial"/>
                <w:b/>
                <w:sz w:val="20"/>
                <w:szCs w:val="20"/>
              </w:rPr>
              <w:t>Wairarapa</w:t>
            </w:r>
            <w:proofErr w:type="spellEnd"/>
            <w:r w:rsidRPr="009F6957">
              <w:rPr>
                <w:rFonts w:ascii="Arial" w:eastAsia="Times New Roman" w:hAnsi="Arial" w:cs="Arial"/>
                <w:b/>
                <w:sz w:val="20"/>
                <w:szCs w:val="20"/>
              </w:rPr>
              <w:t xml:space="preserve"> </w:t>
            </w:r>
          </w:p>
        </w:tc>
        <w:tc>
          <w:tcPr>
            <w:tcW w:w="1418"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9,100</w:t>
            </w:r>
          </w:p>
        </w:tc>
        <w:tc>
          <w:tcPr>
            <w:tcW w:w="1417"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8,900</w:t>
            </w:r>
          </w:p>
        </w:tc>
        <w:tc>
          <w:tcPr>
            <w:tcW w:w="1701"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-200</w:t>
            </w:r>
          </w:p>
        </w:tc>
        <w:tc>
          <w:tcPr>
            <w:tcW w:w="1559" w:type="dxa"/>
            <w:shd w:val="clear" w:color="auto" w:fill="auto"/>
            <w:noWrap/>
            <w:vAlign w:val="center"/>
            <w:hideMark/>
          </w:tcPr>
          <w:p w:rsidR="00525E0D" w:rsidRPr="008A552A" w:rsidRDefault="00525E0D" w:rsidP="00650986">
            <w:pPr>
              <w:spacing w:after="0" w:line="240" w:lineRule="auto"/>
              <w:jc w:val="right"/>
              <w:rPr>
                <w:rFonts w:ascii="Arial" w:eastAsia="Times New Roman" w:hAnsi="Arial" w:cs="Arial"/>
                <w:sz w:val="20"/>
                <w:szCs w:val="20"/>
              </w:rPr>
            </w:pPr>
            <w:r w:rsidRPr="008A552A">
              <w:rPr>
                <w:rFonts w:ascii="Arial" w:eastAsia="Times New Roman" w:hAnsi="Arial" w:cs="Arial"/>
                <w:sz w:val="20"/>
                <w:szCs w:val="20"/>
              </w:rPr>
              <w:t>-0.1</w:t>
            </w:r>
            <w:r>
              <w:rPr>
                <w:rFonts w:ascii="Arial" w:eastAsia="Times New Roman" w:hAnsi="Arial" w:cs="Arial"/>
                <w:sz w:val="20"/>
                <w:szCs w:val="20"/>
              </w:rPr>
              <w:t>%</w:t>
            </w:r>
          </w:p>
        </w:tc>
      </w:tr>
    </w:tbl>
    <w:p w:rsidR="00525E0D" w:rsidRDefault="00525E0D" w:rsidP="009A378B">
      <w:pPr>
        <w:autoSpaceDE w:val="0"/>
        <w:autoSpaceDN w:val="0"/>
        <w:adjustRightInd w:val="0"/>
        <w:spacing w:after="0"/>
      </w:pPr>
    </w:p>
    <w:p w:rsidR="00364341" w:rsidRPr="00525E0D" w:rsidRDefault="00364341" w:rsidP="009A378B">
      <w:pPr>
        <w:autoSpaceDE w:val="0"/>
        <w:autoSpaceDN w:val="0"/>
        <w:adjustRightInd w:val="0"/>
        <w:spacing w:after="0"/>
        <w:rPr>
          <w:b/>
          <w:i/>
          <w:sz w:val="24"/>
          <w:szCs w:val="24"/>
        </w:rPr>
      </w:pPr>
      <w:proofErr w:type="gramStart"/>
      <w:r w:rsidRPr="00525E0D">
        <w:rPr>
          <w:b/>
          <w:i/>
          <w:sz w:val="24"/>
          <w:szCs w:val="24"/>
        </w:rPr>
        <w:t xml:space="preserve">‘Real’ </w:t>
      </w:r>
      <w:r w:rsidR="00244BB0" w:rsidRPr="00525E0D">
        <w:rPr>
          <w:b/>
          <w:i/>
          <w:sz w:val="24"/>
          <w:szCs w:val="24"/>
        </w:rPr>
        <w:t>or</w:t>
      </w:r>
      <w:r w:rsidRPr="00525E0D">
        <w:rPr>
          <w:b/>
          <w:i/>
          <w:sz w:val="24"/>
          <w:szCs w:val="24"/>
        </w:rPr>
        <w:t xml:space="preserve"> ‘Assumed’ Drivers</w:t>
      </w:r>
      <w:r w:rsidR="00244BB0" w:rsidRPr="00525E0D">
        <w:rPr>
          <w:b/>
          <w:i/>
          <w:sz w:val="24"/>
          <w:szCs w:val="24"/>
        </w:rPr>
        <w:t>?</w:t>
      </w:r>
      <w:proofErr w:type="gramEnd"/>
    </w:p>
    <w:p w:rsidR="00364341" w:rsidRDefault="00364341" w:rsidP="009A378B">
      <w:pPr>
        <w:autoSpaceDE w:val="0"/>
        <w:autoSpaceDN w:val="0"/>
        <w:adjustRightInd w:val="0"/>
        <w:spacing w:after="0"/>
      </w:pPr>
    </w:p>
    <w:p w:rsidR="001A5666" w:rsidRDefault="00897001" w:rsidP="009A378B">
      <w:pPr>
        <w:autoSpaceDE w:val="0"/>
        <w:autoSpaceDN w:val="0"/>
        <w:adjustRightInd w:val="0"/>
        <w:spacing w:after="0"/>
      </w:pPr>
      <w:r>
        <w:t>In considering options t</w:t>
      </w:r>
      <w:r w:rsidR="009F5982">
        <w:t>here is a n</w:t>
      </w:r>
      <w:r w:rsidR="001A5666">
        <w:t>eed to distinguish carefully between</w:t>
      </w:r>
      <w:r w:rsidR="009F5982">
        <w:t xml:space="preserve"> what might be termed</w:t>
      </w:r>
      <w:r w:rsidR="001A5666">
        <w:t xml:space="preserve"> ‘real’ and ‘assumed’ drivers for change</w:t>
      </w:r>
      <w:r w:rsidR="009F5982">
        <w:t>.</w:t>
      </w:r>
    </w:p>
    <w:p w:rsidR="009F5982" w:rsidRDefault="009F5982" w:rsidP="009A378B">
      <w:pPr>
        <w:autoSpaceDE w:val="0"/>
        <w:autoSpaceDN w:val="0"/>
        <w:adjustRightInd w:val="0"/>
        <w:spacing w:after="0"/>
      </w:pPr>
    </w:p>
    <w:p w:rsidR="005A44D5" w:rsidRDefault="009F5982" w:rsidP="009A378B">
      <w:pPr>
        <w:autoSpaceDE w:val="0"/>
        <w:autoSpaceDN w:val="0"/>
        <w:adjustRightInd w:val="0"/>
        <w:spacing w:after="0"/>
      </w:pPr>
      <w:r>
        <w:t xml:space="preserve">As yet, both the ‘Auckland effect’ and the likelihood of intense pressures for structural change flowing from the Government’s reform initiatives are yet to be proven. Certainly, creation of the Auckland ‘super city’ was designed to improve the effectiveness of local government as part of an agenda to maximize the contribution of Auckland to national economic growth, and that clearly remains a priority of Government. Likewise, the Government clearly wishes to remove what can be seen as unnecessary obstacles to council amalgamations. However, whether those two elements will combine to bring about a wave of restructuring across the country – and specifically to promote a Wellington version of the ‘super city’ – remains a matter for speculation.  </w:t>
      </w:r>
      <w:r w:rsidR="005A44D5">
        <w:t xml:space="preserve">The success of the Auckland arrangements has yet to be </w:t>
      </w:r>
      <w:r w:rsidR="005A44D5">
        <w:lastRenderedPageBreak/>
        <w:t>established, and whilst the Loc</w:t>
      </w:r>
      <w:r w:rsidR="00AF36AC">
        <w:t>al Government Amendment Bill 201</w:t>
      </w:r>
      <w:r w:rsidR="005A44D5">
        <w:t xml:space="preserve">2 does indeed create the </w:t>
      </w:r>
      <w:r w:rsidR="005A44D5" w:rsidRPr="005A44D5">
        <w:rPr>
          <w:i/>
        </w:rPr>
        <w:t>opportunity</w:t>
      </w:r>
      <w:r w:rsidR="005A44D5">
        <w:t xml:space="preserve"> for promotion of further council amalgamations, its provisions (assuming they become law) by no means </w:t>
      </w:r>
      <w:r w:rsidR="005A44D5" w:rsidRPr="005A44D5">
        <w:rPr>
          <w:i/>
        </w:rPr>
        <w:t>guarantee</w:t>
      </w:r>
      <w:r w:rsidR="005A44D5">
        <w:t xml:space="preserve"> that amalgamation proposals will succeed. Moreover, it is questionable whether government has the appetite to pursue widespread and complex change.</w:t>
      </w:r>
    </w:p>
    <w:p w:rsidR="005A44D5" w:rsidRDefault="005A44D5" w:rsidP="009A378B">
      <w:pPr>
        <w:autoSpaceDE w:val="0"/>
        <w:autoSpaceDN w:val="0"/>
        <w:adjustRightInd w:val="0"/>
        <w:spacing w:after="0"/>
      </w:pPr>
    </w:p>
    <w:p w:rsidR="001771D6" w:rsidRDefault="005A44D5" w:rsidP="009A378B">
      <w:pPr>
        <w:autoSpaceDE w:val="0"/>
        <w:autoSpaceDN w:val="0"/>
        <w:adjustRightInd w:val="0"/>
        <w:spacing w:after="0"/>
      </w:pPr>
      <w:r>
        <w:t xml:space="preserve">By contrast, there are several drivers for change </w:t>
      </w:r>
      <w:r w:rsidR="001771D6">
        <w:t xml:space="preserve">canvassed in the various reports mentioned earlier </w:t>
      </w:r>
      <w:r>
        <w:t>that may be judged ‘real’, either now or in the foreseeable future. These include</w:t>
      </w:r>
      <w:r w:rsidR="001771D6">
        <w:t>:</w:t>
      </w:r>
    </w:p>
    <w:p w:rsidR="001771D6" w:rsidRDefault="001771D6" w:rsidP="009A378B">
      <w:pPr>
        <w:autoSpaceDE w:val="0"/>
        <w:autoSpaceDN w:val="0"/>
        <w:adjustRightInd w:val="0"/>
        <w:spacing w:after="0"/>
      </w:pPr>
    </w:p>
    <w:p w:rsidR="009F5982" w:rsidRDefault="001771D6" w:rsidP="009A378B">
      <w:pPr>
        <w:pStyle w:val="ListParagraph"/>
        <w:numPr>
          <w:ilvl w:val="0"/>
          <w:numId w:val="5"/>
        </w:numPr>
        <w:autoSpaceDE w:val="0"/>
        <w:autoSpaceDN w:val="0"/>
        <w:adjustRightInd w:val="0"/>
        <w:spacing w:after="0"/>
      </w:pPr>
      <w:r>
        <w:t xml:space="preserve">The weak financial position of the three </w:t>
      </w:r>
      <w:proofErr w:type="spellStart"/>
      <w:r>
        <w:t>Wairarapa</w:t>
      </w:r>
      <w:proofErr w:type="spellEnd"/>
      <w:r>
        <w:t xml:space="preserve"> territorials</w:t>
      </w:r>
    </w:p>
    <w:p w:rsidR="001771D6" w:rsidRDefault="001771D6" w:rsidP="009A378B">
      <w:pPr>
        <w:pStyle w:val="ListParagraph"/>
        <w:numPr>
          <w:ilvl w:val="0"/>
          <w:numId w:val="5"/>
        </w:numPr>
        <w:autoSpaceDE w:val="0"/>
        <w:autoSpaceDN w:val="0"/>
        <w:adjustRightInd w:val="0"/>
        <w:spacing w:after="0"/>
      </w:pPr>
      <w:r>
        <w:t>The need for better coordinated strategic planning and provision of major infrastructure and services to support expected population growth in the main urban areas</w:t>
      </w:r>
    </w:p>
    <w:p w:rsidR="001771D6" w:rsidRDefault="001771D6" w:rsidP="009A378B">
      <w:pPr>
        <w:pStyle w:val="ListParagraph"/>
        <w:numPr>
          <w:ilvl w:val="0"/>
          <w:numId w:val="5"/>
        </w:numPr>
        <w:autoSpaceDE w:val="0"/>
        <w:autoSpaceDN w:val="0"/>
        <w:adjustRightInd w:val="0"/>
        <w:spacing w:after="0"/>
      </w:pPr>
      <w:r>
        <w:t>The desirability of enhanced efforts to promote economic development.</w:t>
      </w:r>
    </w:p>
    <w:p w:rsidR="008A552A" w:rsidRDefault="008A552A" w:rsidP="008A552A">
      <w:pPr>
        <w:autoSpaceDE w:val="0"/>
        <w:autoSpaceDN w:val="0"/>
        <w:adjustRightInd w:val="0"/>
        <w:spacing w:after="0"/>
      </w:pPr>
    </w:p>
    <w:p w:rsidR="00205D4F" w:rsidRPr="00525E0D" w:rsidRDefault="00364341" w:rsidP="009A378B">
      <w:pPr>
        <w:spacing w:after="0"/>
        <w:rPr>
          <w:b/>
          <w:sz w:val="28"/>
          <w:szCs w:val="28"/>
        </w:rPr>
      </w:pPr>
      <w:r w:rsidRPr="00525E0D">
        <w:rPr>
          <w:b/>
          <w:sz w:val="28"/>
          <w:szCs w:val="28"/>
        </w:rPr>
        <w:t>2.</w:t>
      </w:r>
      <w:r w:rsidRPr="00525E0D">
        <w:rPr>
          <w:b/>
          <w:sz w:val="28"/>
          <w:szCs w:val="28"/>
        </w:rPr>
        <w:tab/>
      </w:r>
      <w:r w:rsidR="00205D4F" w:rsidRPr="00525E0D">
        <w:rPr>
          <w:b/>
          <w:sz w:val="28"/>
          <w:szCs w:val="28"/>
        </w:rPr>
        <w:t>Wellington and Auckland: A global perspective</w:t>
      </w:r>
    </w:p>
    <w:p w:rsidR="00205D4F" w:rsidRPr="00525E0D" w:rsidRDefault="00205D4F" w:rsidP="009A378B">
      <w:pPr>
        <w:spacing w:after="0"/>
      </w:pPr>
    </w:p>
    <w:p w:rsidR="00525A09" w:rsidRPr="00525E0D" w:rsidRDefault="00205D4F" w:rsidP="009A378B">
      <w:pPr>
        <w:spacing w:after="0"/>
      </w:pPr>
      <w:r w:rsidRPr="00525E0D">
        <w:t>As noted above, proponents of the ‘Auckland effect’ tend to focus on the potential for Wellington to suffer from competition with the new ‘super city’. However, this proposition needs to be challenged, or at least considered from a different perspective. In global terms, New Zealand is effectively a single region. Certainly, Auckland is the country’s urban ‘flagship’ and only contender for ‘world city’ status, but as long as it remains the capital city Wellington is guaranteed an important role alongside Auckland, offering vital expertise in governance, public administration and related knowledge-based industries. As Colin James has observed, from a government perspective Auckland is now too big to fail, but perhaps also too small to succeed: whether or not the ‘super city’ does succeed will depend in no small part on the contribution of Wellington</w:t>
      </w:r>
      <w:r w:rsidR="00525A09" w:rsidRPr="00525E0D">
        <w:t>.</w:t>
      </w:r>
    </w:p>
    <w:p w:rsidR="00525A09" w:rsidRPr="00525E0D" w:rsidRDefault="00525A09" w:rsidP="009A378B">
      <w:pPr>
        <w:spacing w:after="0"/>
      </w:pPr>
    </w:p>
    <w:p w:rsidR="00525A09" w:rsidRPr="00525E0D" w:rsidRDefault="00525A09" w:rsidP="009A378B">
      <w:pPr>
        <w:spacing w:after="0"/>
      </w:pPr>
      <w:r w:rsidRPr="00525E0D">
        <w:t>This suggests that far from worrying about competition, Wellington (in the sense of the key players in central and local government, the private sector and academia)</w:t>
      </w:r>
      <w:r w:rsidR="00205D4F" w:rsidRPr="00525E0D">
        <w:t xml:space="preserve"> </w:t>
      </w:r>
      <w:r w:rsidRPr="00525E0D">
        <w:t xml:space="preserve">should be focused on forging the most productive possible partnership with Auckland, leveraging off moves to make the latter a ‘world city’. </w:t>
      </w:r>
      <w:r w:rsidR="00205D4F" w:rsidRPr="00525E0D">
        <w:t xml:space="preserve"> </w:t>
      </w:r>
      <w:r w:rsidRPr="00525E0D">
        <w:t>This would involve, among other things, identifying complementary strengths and promoting improved transport links between the two cities, especially cheap and frequent air services. The latter might well accelerate, rather than detract from, moves to establish direct flights between Wellington and Asia.</w:t>
      </w:r>
    </w:p>
    <w:p w:rsidR="00525A09" w:rsidRPr="00525E0D" w:rsidRDefault="00525A09" w:rsidP="009A378B">
      <w:pPr>
        <w:spacing w:after="0"/>
      </w:pPr>
    </w:p>
    <w:p w:rsidR="00205D4F" w:rsidRPr="00525E0D" w:rsidRDefault="00525A09" w:rsidP="009A378B">
      <w:pPr>
        <w:spacing w:after="0"/>
      </w:pPr>
      <w:r w:rsidRPr="00525E0D">
        <w:t xml:space="preserve">A parallel issue is the future of Christchurch. Again, complementarity rather than competition looks like the right approach. However, the future of Christchurch as an economic force in New Zealand remains in the balance, and the city’s future may well be that of a large provincial </w:t>
      </w:r>
      <w:proofErr w:type="spellStart"/>
      <w:r w:rsidRPr="00525E0D">
        <w:t>centre</w:t>
      </w:r>
      <w:proofErr w:type="spellEnd"/>
      <w:r w:rsidRPr="00525E0D">
        <w:t xml:space="preserve"> rather than a </w:t>
      </w:r>
      <w:r w:rsidR="00D11CF7" w:rsidRPr="00525E0D">
        <w:t>major</w:t>
      </w:r>
      <w:r w:rsidRPr="00525E0D">
        <w:t xml:space="preserve"> national</w:t>
      </w:r>
      <w:r w:rsidR="00D11CF7" w:rsidRPr="00525E0D">
        <w:t xml:space="preserve"> player</w:t>
      </w:r>
      <w:r w:rsidRPr="00525E0D">
        <w:t xml:space="preserve">. </w:t>
      </w:r>
      <w:r w:rsidR="00205D4F" w:rsidRPr="00525E0D">
        <w:t xml:space="preserve"> </w:t>
      </w:r>
      <w:r w:rsidR="00D11CF7" w:rsidRPr="00525E0D">
        <w:t>An Auckland-Wellington axis would be the paramount force.</w:t>
      </w:r>
    </w:p>
    <w:p w:rsidR="00D110C2" w:rsidRPr="00525E0D" w:rsidRDefault="00D110C2" w:rsidP="009A378B">
      <w:pPr>
        <w:spacing w:after="0"/>
      </w:pPr>
    </w:p>
    <w:p w:rsidR="00D110C2" w:rsidRPr="00525E0D" w:rsidRDefault="00D110C2" w:rsidP="00D110C2">
      <w:pPr>
        <w:pBdr>
          <w:top w:val="single" w:sz="4" w:space="1" w:color="auto"/>
          <w:left w:val="single" w:sz="4" w:space="4" w:color="auto"/>
          <w:bottom w:val="single" w:sz="4" w:space="1" w:color="auto"/>
          <w:right w:val="single" w:sz="4" w:space="4" w:color="auto"/>
        </w:pBdr>
        <w:spacing w:after="0"/>
        <w:rPr>
          <w:i/>
          <w:sz w:val="24"/>
          <w:szCs w:val="24"/>
        </w:rPr>
      </w:pPr>
      <w:r w:rsidRPr="00525E0D">
        <w:rPr>
          <w:i/>
          <w:sz w:val="24"/>
          <w:szCs w:val="24"/>
        </w:rPr>
        <w:t xml:space="preserve">The governance implication for Wellington is the need for a structure that can help maximize the City’s potential as an economic force in its own right and as a partner for Auckland. </w:t>
      </w:r>
    </w:p>
    <w:p w:rsidR="00516F9A" w:rsidRPr="00516F9A" w:rsidRDefault="00516F9A" w:rsidP="009A378B">
      <w:pPr>
        <w:spacing w:after="0"/>
        <w:rPr>
          <w:b/>
        </w:rPr>
      </w:pPr>
    </w:p>
    <w:p w:rsidR="00516F9A" w:rsidRDefault="00516F9A">
      <w:pPr>
        <w:rPr>
          <w:b/>
          <w:sz w:val="28"/>
          <w:szCs w:val="28"/>
        </w:rPr>
      </w:pPr>
      <w:r>
        <w:rPr>
          <w:b/>
          <w:sz w:val="28"/>
          <w:szCs w:val="28"/>
        </w:rPr>
        <w:br w:type="page"/>
      </w:r>
    </w:p>
    <w:p w:rsidR="001A5666" w:rsidRPr="00525E0D" w:rsidRDefault="00205D4F" w:rsidP="009A378B">
      <w:pPr>
        <w:spacing w:after="0"/>
        <w:rPr>
          <w:b/>
          <w:sz w:val="28"/>
          <w:szCs w:val="28"/>
        </w:rPr>
      </w:pPr>
      <w:r w:rsidRPr="00525E0D">
        <w:rPr>
          <w:b/>
          <w:sz w:val="28"/>
          <w:szCs w:val="28"/>
        </w:rPr>
        <w:lastRenderedPageBreak/>
        <w:t>3.</w:t>
      </w:r>
      <w:r w:rsidRPr="00525E0D">
        <w:rPr>
          <w:b/>
          <w:sz w:val="28"/>
          <w:szCs w:val="28"/>
        </w:rPr>
        <w:tab/>
      </w:r>
      <w:r w:rsidR="001A5666" w:rsidRPr="00525E0D">
        <w:rPr>
          <w:b/>
          <w:sz w:val="28"/>
          <w:szCs w:val="28"/>
        </w:rPr>
        <w:t>Defining ‘Wellington’</w:t>
      </w:r>
      <w:r w:rsidR="00DE2F19" w:rsidRPr="00525E0D">
        <w:rPr>
          <w:b/>
          <w:sz w:val="28"/>
          <w:szCs w:val="28"/>
        </w:rPr>
        <w:t xml:space="preserve"> </w:t>
      </w:r>
    </w:p>
    <w:p w:rsidR="001A5666" w:rsidRDefault="001A5666" w:rsidP="009A378B">
      <w:pPr>
        <w:spacing w:after="0"/>
      </w:pPr>
    </w:p>
    <w:p w:rsidR="001771D6" w:rsidRDefault="001771D6" w:rsidP="009A378B">
      <w:pPr>
        <w:spacing w:after="0"/>
      </w:pPr>
      <w:r>
        <w:t xml:space="preserve">‘Wellington’ as a place may be defined in </w:t>
      </w:r>
      <w:r w:rsidR="00D11CF7">
        <w:t>at least three</w:t>
      </w:r>
      <w:r>
        <w:t xml:space="preserve"> different ways:</w:t>
      </w:r>
    </w:p>
    <w:p w:rsidR="001771D6" w:rsidRDefault="001771D6" w:rsidP="009A378B">
      <w:pPr>
        <w:spacing w:after="0"/>
      </w:pPr>
    </w:p>
    <w:p w:rsidR="001771D6" w:rsidRDefault="001771D6" w:rsidP="009A378B">
      <w:pPr>
        <w:pStyle w:val="ListParagraph"/>
        <w:numPr>
          <w:ilvl w:val="0"/>
          <w:numId w:val="6"/>
        </w:numPr>
        <w:spacing w:after="0"/>
      </w:pPr>
      <w:r>
        <w:t>The administrative unit of the City of Wellington</w:t>
      </w:r>
    </w:p>
    <w:p w:rsidR="001771D6" w:rsidRDefault="001771D6" w:rsidP="009A378B">
      <w:pPr>
        <w:pStyle w:val="ListParagraph"/>
        <w:numPr>
          <w:ilvl w:val="0"/>
          <w:numId w:val="6"/>
        </w:numPr>
        <w:spacing w:after="0"/>
      </w:pPr>
      <w:r>
        <w:t>The wider urban area commonly seen to be ‘Wellington’, at least by outsiders</w:t>
      </w:r>
    </w:p>
    <w:p w:rsidR="001771D6" w:rsidRDefault="001771D6" w:rsidP="009A378B">
      <w:pPr>
        <w:pStyle w:val="ListParagraph"/>
        <w:numPr>
          <w:ilvl w:val="0"/>
          <w:numId w:val="6"/>
        </w:numPr>
        <w:spacing w:after="0"/>
      </w:pPr>
      <w:r>
        <w:t>The Greater Wellington region</w:t>
      </w:r>
      <w:r w:rsidR="00D11CF7">
        <w:t>.</w:t>
      </w:r>
    </w:p>
    <w:p w:rsidR="00534AF2" w:rsidRDefault="00534AF2" w:rsidP="009A378B">
      <w:pPr>
        <w:spacing w:after="0"/>
      </w:pPr>
    </w:p>
    <w:p w:rsidR="00AB6B02" w:rsidRDefault="00986886" w:rsidP="009A378B">
      <w:pPr>
        <w:spacing w:after="0"/>
      </w:pPr>
      <w:r>
        <w:t xml:space="preserve">Discussion </w:t>
      </w:r>
      <w:r w:rsidR="00134FE1">
        <w:t xml:space="preserve">of governance issues </w:t>
      </w:r>
      <w:r>
        <w:t xml:space="preserve">to this point has </w:t>
      </w:r>
      <w:r w:rsidR="00134FE1">
        <w:t xml:space="preserve">generally </w:t>
      </w:r>
      <w:r>
        <w:t xml:space="preserve">assumed that the starting point is the </w:t>
      </w:r>
      <w:r w:rsidR="00134FE1">
        <w:t>area covered by the</w:t>
      </w:r>
      <w:r>
        <w:t xml:space="preserve"> G</w:t>
      </w:r>
      <w:r w:rsidR="00134FE1">
        <w:t>reater Wellington Re</w:t>
      </w:r>
      <w:r>
        <w:t>gion</w:t>
      </w:r>
      <w:r w:rsidR="00134FE1">
        <w:t xml:space="preserve"> Council, but why should that be the case? Is not the currently defined region essentially an artificial administrative construct established less than 25 years ago, with</w:t>
      </w:r>
      <w:r w:rsidR="00AB6B02">
        <w:t>out a</w:t>
      </w:r>
      <w:r w:rsidR="00134FE1">
        <w:t xml:space="preserve"> definitive environmental boundary to the north? Also, is it not evident that in economic terms Wellington </w:t>
      </w:r>
      <w:r w:rsidR="00AB6B02">
        <w:t xml:space="preserve">could be seen </w:t>
      </w:r>
      <w:r w:rsidR="00134FE1">
        <w:t>as part of a broader region extending considerably further to the north and</w:t>
      </w:r>
      <w:r w:rsidR="00F92D58">
        <w:t xml:space="preserve"> also </w:t>
      </w:r>
      <w:r w:rsidR="00134FE1">
        <w:t>including the north of the South Island?</w:t>
      </w:r>
      <w:r w:rsidR="00AB6B02">
        <w:t xml:space="preserve"> The Mayor of Wellington has already convened an inaugural meeting of mayors from the southern half of the North Island</w:t>
      </w:r>
      <w:r w:rsidR="00D11CF7">
        <w:t xml:space="preserve"> plus</w:t>
      </w:r>
      <w:r w:rsidR="00AB6B02">
        <w:t xml:space="preserve"> Marlborough, Nelson and Tasman, following moves to create an Upper North Island Strategic Alliance (UNISA) around Auckland. </w:t>
      </w:r>
    </w:p>
    <w:p w:rsidR="00AB6B02" w:rsidRDefault="00AB6B02" w:rsidP="009A378B">
      <w:pPr>
        <w:spacing w:after="0"/>
      </w:pPr>
    </w:p>
    <w:p w:rsidR="00134FE1" w:rsidRDefault="00AB6B02" w:rsidP="009A378B">
      <w:pPr>
        <w:spacing w:after="0"/>
      </w:pPr>
      <w:r>
        <w:t xml:space="preserve">It would seem that economic geography is moving on, </w:t>
      </w:r>
      <w:r w:rsidR="002B7B47">
        <w:t xml:space="preserve">potentially </w:t>
      </w:r>
      <w:r>
        <w:t>challenging existing regional boundaries.</w:t>
      </w:r>
      <w:r w:rsidR="002B7B47">
        <w:t xml:space="preserve"> At the same time, there is speculation that environmental regulation – the core role of regional councils – may change with the advent of the Environmental Protection Authority. This again suggests that using the current Greater Wellington boundary as a starting point </w:t>
      </w:r>
      <w:r w:rsidR="006034E2">
        <w:t>may be unwise.</w:t>
      </w:r>
    </w:p>
    <w:p w:rsidR="002B7B47" w:rsidRDefault="002B7B47" w:rsidP="009A378B">
      <w:pPr>
        <w:spacing w:after="0"/>
      </w:pPr>
    </w:p>
    <w:p w:rsidR="00D11CF7" w:rsidRDefault="00D11CF7" w:rsidP="009A378B">
      <w:pPr>
        <w:spacing w:after="0"/>
      </w:pPr>
      <w:r>
        <w:t xml:space="preserve">To the outsider, the defining image of ‘Wellington’ is the </w:t>
      </w:r>
      <w:proofErr w:type="spellStart"/>
      <w:r>
        <w:t>harbour</w:t>
      </w:r>
      <w:proofErr w:type="spellEnd"/>
      <w:r>
        <w:t xml:space="preserve"> with its surrounding urban areas and scenic rim, nearly all of which is located in the Cities of Wellington and Hutt. The urban area then extends more or less seamlessly</w:t>
      </w:r>
      <w:r w:rsidR="008B3A2A">
        <w:t xml:space="preserve"> – and certainly as an integrated functional unit – </w:t>
      </w:r>
      <w:r>
        <w:t xml:space="preserve">into the Cities of </w:t>
      </w:r>
      <w:proofErr w:type="spellStart"/>
      <w:r>
        <w:t>Porirua</w:t>
      </w:r>
      <w:proofErr w:type="spellEnd"/>
      <w:r>
        <w:t xml:space="preserve"> and Upper Hutt. </w:t>
      </w:r>
      <w:r w:rsidR="008A552A">
        <w:t>Commuting to Wellington/</w:t>
      </w:r>
      <w:proofErr w:type="spellStart"/>
      <w:r w:rsidR="008A552A">
        <w:t>Porirua</w:t>
      </w:r>
      <w:proofErr w:type="spellEnd"/>
      <w:r w:rsidR="008A552A">
        <w:t xml:space="preserve"> from t</w:t>
      </w:r>
      <w:r>
        <w:t xml:space="preserve">he southern part of the District of </w:t>
      </w:r>
      <w:proofErr w:type="spellStart"/>
      <w:r>
        <w:t>Kapiti</w:t>
      </w:r>
      <w:proofErr w:type="spellEnd"/>
      <w:r>
        <w:t xml:space="preserve"> Coast is </w:t>
      </w:r>
      <w:r w:rsidR="008A552A">
        <w:t>increasing</w:t>
      </w:r>
      <w:r>
        <w:t xml:space="preserve">, and there is </w:t>
      </w:r>
      <w:r w:rsidR="008A552A">
        <w:t xml:space="preserve">also </w:t>
      </w:r>
      <w:r w:rsidR="008B3A2A">
        <w:t>some</w:t>
      </w:r>
      <w:r>
        <w:t xml:space="preserve"> commuting </w:t>
      </w:r>
      <w:r w:rsidR="008B3A2A">
        <w:t xml:space="preserve">across the </w:t>
      </w:r>
      <w:proofErr w:type="spellStart"/>
      <w:r w:rsidR="008B3A2A">
        <w:t>Rimutakas</w:t>
      </w:r>
      <w:proofErr w:type="spellEnd"/>
      <w:r w:rsidR="008B3A2A">
        <w:t xml:space="preserve"> to the </w:t>
      </w:r>
      <w:proofErr w:type="spellStart"/>
      <w:r w:rsidR="008B3A2A">
        <w:t>Wairarapa</w:t>
      </w:r>
      <w:proofErr w:type="spellEnd"/>
      <w:r w:rsidR="008B3A2A">
        <w:t xml:space="preserve">. At this stage, however, neither </w:t>
      </w:r>
      <w:proofErr w:type="spellStart"/>
      <w:r w:rsidR="008B3A2A">
        <w:t>Kapiti</w:t>
      </w:r>
      <w:proofErr w:type="spellEnd"/>
      <w:r w:rsidR="008B3A2A">
        <w:t xml:space="preserve"> nor the </w:t>
      </w:r>
      <w:proofErr w:type="spellStart"/>
      <w:r w:rsidR="008B3A2A">
        <w:t>Wairarapa</w:t>
      </w:r>
      <w:proofErr w:type="spellEnd"/>
      <w:r w:rsidR="008B3A2A">
        <w:t xml:space="preserve"> look to be part of the Wellington urban complex.</w:t>
      </w:r>
      <w:r>
        <w:t xml:space="preserve">  </w:t>
      </w:r>
    </w:p>
    <w:p w:rsidR="008B3A2A" w:rsidRDefault="008B3A2A" w:rsidP="009A378B">
      <w:pPr>
        <w:spacing w:after="0"/>
      </w:pPr>
    </w:p>
    <w:p w:rsidR="00D11CF7" w:rsidRPr="00525E0D" w:rsidRDefault="008B3A2A" w:rsidP="00D110C2">
      <w:pPr>
        <w:pBdr>
          <w:top w:val="single" w:sz="4" w:space="1" w:color="auto"/>
          <w:left w:val="single" w:sz="4" w:space="4" w:color="auto"/>
          <w:bottom w:val="single" w:sz="4" w:space="1" w:color="auto"/>
          <w:right w:val="single" w:sz="4" w:space="4" w:color="auto"/>
        </w:pBdr>
        <w:spacing w:after="0"/>
        <w:rPr>
          <w:i/>
          <w:sz w:val="24"/>
          <w:szCs w:val="24"/>
        </w:rPr>
      </w:pPr>
      <w:r w:rsidRPr="00525E0D">
        <w:rPr>
          <w:i/>
          <w:sz w:val="24"/>
          <w:szCs w:val="24"/>
        </w:rPr>
        <w:t xml:space="preserve">‘Wellington’ thus emerges as something more than the City of Wellington, </w:t>
      </w:r>
      <w:proofErr w:type="gramStart"/>
      <w:r w:rsidRPr="00525E0D">
        <w:rPr>
          <w:i/>
          <w:sz w:val="24"/>
          <w:szCs w:val="24"/>
        </w:rPr>
        <w:t>but</w:t>
      </w:r>
      <w:proofErr w:type="gramEnd"/>
      <w:r w:rsidRPr="00525E0D">
        <w:rPr>
          <w:i/>
          <w:sz w:val="24"/>
          <w:szCs w:val="24"/>
        </w:rPr>
        <w:t xml:space="preserve"> less than the area of the Greater Wellington Regional Council. In terms of governance, this suggests that a new approach needs to be defined that focuses on the urban complex, whilst ensuring that the needs of </w:t>
      </w:r>
      <w:proofErr w:type="spellStart"/>
      <w:r w:rsidRPr="00525E0D">
        <w:rPr>
          <w:i/>
          <w:sz w:val="24"/>
          <w:szCs w:val="24"/>
        </w:rPr>
        <w:t>Kapiti</w:t>
      </w:r>
      <w:proofErr w:type="spellEnd"/>
      <w:r w:rsidRPr="00525E0D">
        <w:rPr>
          <w:i/>
          <w:sz w:val="24"/>
          <w:szCs w:val="24"/>
        </w:rPr>
        <w:t xml:space="preserve"> and the </w:t>
      </w:r>
      <w:proofErr w:type="spellStart"/>
      <w:r w:rsidRPr="00525E0D">
        <w:rPr>
          <w:i/>
          <w:sz w:val="24"/>
          <w:szCs w:val="24"/>
        </w:rPr>
        <w:t>Wairarapa</w:t>
      </w:r>
      <w:proofErr w:type="spellEnd"/>
      <w:r w:rsidRPr="00525E0D">
        <w:rPr>
          <w:i/>
          <w:sz w:val="24"/>
          <w:szCs w:val="24"/>
        </w:rPr>
        <w:t xml:space="preserve"> are suitably </w:t>
      </w:r>
      <w:r w:rsidR="00101ACC" w:rsidRPr="00525E0D">
        <w:rPr>
          <w:i/>
          <w:sz w:val="24"/>
          <w:szCs w:val="24"/>
        </w:rPr>
        <w:t>addressed.</w:t>
      </w:r>
    </w:p>
    <w:p w:rsidR="00525E0D" w:rsidRDefault="00525E0D" w:rsidP="009A378B">
      <w:pPr>
        <w:spacing w:after="0"/>
      </w:pPr>
    </w:p>
    <w:p w:rsidR="00516F9A" w:rsidRDefault="00516F9A" w:rsidP="009A378B">
      <w:pPr>
        <w:spacing w:after="0"/>
      </w:pPr>
    </w:p>
    <w:p w:rsidR="009A378B" w:rsidRPr="00525E0D" w:rsidRDefault="00101ACC" w:rsidP="009A378B">
      <w:pPr>
        <w:spacing w:after="0"/>
        <w:rPr>
          <w:b/>
          <w:sz w:val="28"/>
          <w:szCs w:val="28"/>
        </w:rPr>
      </w:pPr>
      <w:r w:rsidRPr="00525E0D">
        <w:rPr>
          <w:b/>
          <w:sz w:val="28"/>
          <w:szCs w:val="28"/>
        </w:rPr>
        <w:t>4.</w:t>
      </w:r>
      <w:r w:rsidRPr="00525E0D">
        <w:rPr>
          <w:b/>
          <w:sz w:val="28"/>
          <w:szCs w:val="28"/>
        </w:rPr>
        <w:tab/>
      </w:r>
      <w:proofErr w:type="spellStart"/>
      <w:r w:rsidRPr="00525E0D">
        <w:rPr>
          <w:b/>
          <w:sz w:val="28"/>
          <w:szCs w:val="28"/>
        </w:rPr>
        <w:t>Kapiti</w:t>
      </w:r>
      <w:proofErr w:type="spellEnd"/>
      <w:r w:rsidRPr="00525E0D">
        <w:rPr>
          <w:b/>
          <w:sz w:val="28"/>
          <w:szCs w:val="28"/>
        </w:rPr>
        <w:t xml:space="preserve"> and the </w:t>
      </w:r>
      <w:proofErr w:type="spellStart"/>
      <w:r w:rsidRPr="00525E0D">
        <w:rPr>
          <w:b/>
          <w:sz w:val="28"/>
          <w:szCs w:val="28"/>
        </w:rPr>
        <w:t>Wairarapa</w:t>
      </w:r>
      <w:proofErr w:type="spellEnd"/>
    </w:p>
    <w:p w:rsidR="00134FE1" w:rsidRDefault="00134FE1" w:rsidP="009A378B">
      <w:pPr>
        <w:spacing w:after="0"/>
      </w:pPr>
    </w:p>
    <w:p w:rsidR="00DE2F19" w:rsidRDefault="008A552A" w:rsidP="009A378B">
      <w:pPr>
        <w:spacing w:after="0"/>
      </w:pPr>
      <w:r>
        <w:t xml:space="preserve">It is beyond the scope of this paper (and the knowledge of the author) to go into detail regarding the future governance of </w:t>
      </w:r>
      <w:proofErr w:type="spellStart"/>
      <w:r>
        <w:t>Kapiti</w:t>
      </w:r>
      <w:proofErr w:type="spellEnd"/>
      <w:r>
        <w:t xml:space="preserve"> and the </w:t>
      </w:r>
      <w:proofErr w:type="spellStart"/>
      <w:r>
        <w:t>Wairarapa</w:t>
      </w:r>
      <w:proofErr w:type="spellEnd"/>
      <w:r>
        <w:t xml:space="preserve">. However, a few points </w:t>
      </w:r>
      <w:r w:rsidR="00525E0D">
        <w:t>may be made.</w:t>
      </w:r>
    </w:p>
    <w:p w:rsidR="008A552A" w:rsidRDefault="008A552A" w:rsidP="009A378B">
      <w:pPr>
        <w:spacing w:after="0"/>
      </w:pPr>
    </w:p>
    <w:p w:rsidR="008D1FF7" w:rsidRDefault="008A552A" w:rsidP="009A378B">
      <w:pPr>
        <w:pStyle w:val="ListParagraph"/>
        <w:numPr>
          <w:ilvl w:val="0"/>
          <w:numId w:val="9"/>
        </w:numPr>
        <w:spacing w:after="0"/>
      </w:pPr>
      <w:r>
        <w:lastRenderedPageBreak/>
        <w:t xml:space="preserve">The southern half of </w:t>
      </w:r>
      <w:proofErr w:type="spellStart"/>
      <w:r>
        <w:t>Kapiti</w:t>
      </w:r>
      <w:proofErr w:type="spellEnd"/>
      <w:r>
        <w:t xml:space="preserve"> will increasingly become a series of dormitory communities linked to Wellington, but seem</w:t>
      </w:r>
      <w:r w:rsidR="008D1FF7">
        <w:t>s</w:t>
      </w:r>
      <w:r>
        <w:t xml:space="preserve"> likely to retain a distinct identity. With this driver of population growth</w:t>
      </w:r>
      <w:r w:rsidR="008D1FF7">
        <w:t xml:space="preserve">, </w:t>
      </w:r>
      <w:proofErr w:type="spellStart"/>
      <w:r w:rsidR="008D1FF7">
        <w:t>Kapiti</w:t>
      </w:r>
      <w:proofErr w:type="spellEnd"/>
      <w:r w:rsidR="008D1FF7">
        <w:t xml:space="preserve"> may well be able to function successfully as a unitary authority. </w:t>
      </w:r>
    </w:p>
    <w:p w:rsidR="008A552A" w:rsidRDefault="008D1FF7" w:rsidP="009A378B">
      <w:pPr>
        <w:pStyle w:val="ListParagraph"/>
        <w:numPr>
          <w:ilvl w:val="0"/>
          <w:numId w:val="9"/>
        </w:numPr>
        <w:spacing w:after="0"/>
      </w:pPr>
      <w:r>
        <w:t xml:space="preserve">Alternatively, </w:t>
      </w:r>
      <w:proofErr w:type="spellStart"/>
      <w:r>
        <w:t>Kapiti</w:t>
      </w:r>
      <w:proofErr w:type="spellEnd"/>
      <w:r>
        <w:t xml:space="preserve"> could be merged with an expanded Wellington (see below); split between an expanded Wellington and </w:t>
      </w:r>
      <w:proofErr w:type="spellStart"/>
      <w:r>
        <w:t>Horowhenua</w:t>
      </w:r>
      <w:proofErr w:type="spellEnd"/>
      <w:r>
        <w:t xml:space="preserve">; or merged with </w:t>
      </w:r>
      <w:proofErr w:type="spellStart"/>
      <w:r>
        <w:t>Horowhenua</w:t>
      </w:r>
      <w:proofErr w:type="spellEnd"/>
      <w:r>
        <w:t xml:space="preserve">. To the extent that </w:t>
      </w:r>
      <w:proofErr w:type="spellStart"/>
      <w:r>
        <w:t>Kapiti</w:t>
      </w:r>
      <w:proofErr w:type="spellEnd"/>
      <w:r>
        <w:t xml:space="preserve"> is merged in whole o</w:t>
      </w:r>
      <w:r w:rsidR="003F400E">
        <w:t>r</w:t>
      </w:r>
      <w:r>
        <w:t xml:space="preserve"> part with </w:t>
      </w:r>
      <w:proofErr w:type="spellStart"/>
      <w:r>
        <w:t>Horowhenua</w:t>
      </w:r>
      <w:proofErr w:type="spellEnd"/>
      <w:r>
        <w:t xml:space="preserve"> it could be as a unitary authority or as part of an expanded Horizons (</w:t>
      </w:r>
      <w:proofErr w:type="spellStart"/>
      <w:r>
        <w:t>Manawatu</w:t>
      </w:r>
      <w:proofErr w:type="spellEnd"/>
      <w:r>
        <w:t xml:space="preserve">-Wanganui) region. </w:t>
      </w:r>
    </w:p>
    <w:p w:rsidR="008D1FF7" w:rsidRDefault="008D1FF7" w:rsidP="009A378B">
      <w:pPr>
        <w:pStyle w:val="ListParagraph"/>
        <w:numPr>
          <w:ilvl w:val="0"/>
          <w:numId w:val="9"/>
        </w:numPr>
        <w:spacing w:after="0"/>
      </w:pPr>
      <w:r>
        <w:t xml:space="preserve">Given the proposal below for a new Wellington metropolitan council, perhaps the best short-term solution for </w:t>
      </w:r>
      <w:proofErr w:type="spellStart"/>
      <w:r>
        <w:t>Kapiti</w:t>
      </w:r>
      <w:proofErr w:type="spellEnd"/>
      <w:r>
        <w:t xml:space="preserve"> is a transfer of regional council functions to Horizons, pending clarification of the Government’s longer term approach </w:t>
      </w:r>
      <w:r w:rsidR="00302B84">
        <w:t>to the retention or otherwise of regional councils in their current form, and hence the future functions and appropriate scale of unitary authorities</w:t>
      </w:r>
      <w:r>
        <w:t>.</w:t>
      </w:r>
    </w:p>
    <w:p w:rsidR="008D1FF7" w:rsidRDefault="008D1FF7" w:rsidP="009A378B">
      <w:pPr>
        <w:pStyle w:val="ListParagraph"/>
        <w:numPr>
          <w:ilvl w:val="0"/>
          <w:numId w:val="9"/>
        </w:numPr>
        <w:spacing w:after="0"/>
      </w:pPr>
      <w:r>
        <w:t xml:space="preserve">The same applies </w:t>
      </w:r>
      <w:r w:rsidR="00302B84">
        <w:t xml:space="preserve">to the </w:t>
      </w:r>
      <w:proofErr w:type="spellStart"/>
      <w:r w:rsidR="00302B84">
        <w:t>Wairarapa</w:t>
      </w:r>
      <w:proofErr w:type="spellEnd"/>
      <w:r w:rsidR="00302B84">
        <w:t xml:space="preserve">, which given its limited potential for population growth seems less likely than </w:t>
      </w:r>
      <w:proofErr w:type="spellStart"/>
      <w:r w:rsidR="00302B84">
        <w:t>Kapiti</w:t>
      </w:r>
      <w:proofErr w:type="spellEnd"/>
      <w:r w:rsidR="00302B84">
        <w:t xml:space="preserve"> to be able to function successfully as a unitary authority. </w:t>
      </w:r>
      <w:r w:rsidR="00AF36AC">
        <w:t>The</w:t>
      </w:r>
      <w:r w:rsidR="00302B84">
        <w:t xml:space="preserve"> recent report by </w:t>
      </w:r>
      <w:proofErr w:type="spellStart"/>
      <w:r w:rsidR="00302B84">
        <w:t>MorrisonLow</w:t>
      </w:r>
      <w:proofErr w:type="spellEnd"/>
      <w:r w:rsidR="00302B84">
        <w:t xml:space="preserve"> essentially </w:t>
      </w:r>
      <w:proofErr w:type="spellStart"/>
      <w:r w:rsidR="00302B84">
        <w:t>favoured</w:t>
      </w:r>
      <w:proofErr w:type="spellEnd"/>
      <w:r w:rsidR="00302B84">
        <w:t xml:space="preserve"> a unitary authority but noted that:</w:t>
      </w:r>
    </w:p>
    <w:p w:rsidR="00302B84" w:rsidRDefault="00302B84" w:rsidP="00302B84">
      <w:pPr>
        <w:pStyle w:val="ListParagraph"/>
        <w:spacing w:after="0"/>
        <w:ind w:left="360"/>
      </w:pPr>
    </w:p>
    <w:p w:rsidR="00302B84" w:rsidRDefault="00302B84" w:rsidP="00BE1914">
      <w:pPr>
        <w:autoSpaceDE w:val="0"/>
        <w:autoSpaceDN w:val="0"/>
        <w:adjustRightInd w:val="0"/>
        <w:spacing w:after="0" w:line="240" w:lineRule="auto"/>
        <w:ind w:left="720"/>
        <w:rPr>
          <w:rFonts w:cs="Arial"/>
        </w:rPr>
      </w:pPr>
      <w:r w:rsidRPr="00302B84">
        <w:rPr>
          <w:rFonts w:cs="Arial"/>
        </w:rPr>
        <w:t xml:space="preserve">...further work is required to consider in detail the costs, benefits and risks of these options and in particular the cost implications of a </w:t>
      </w:r>
      <w:proofErr w:type="spellStart"/>
      <w:r w:rsidRPr="00302B84">
        <w:rPr>
          <w:rFonts w:cs="Arial"/>
        </w:rPr>
        <w:t>Wairarapa</w:t>
      </w:r>
      <w:proofErr w:type="spellEnd"/>
      <w:r w:rsidRPr="00302B84">
        <w:rPr>
          <w:rFonts w:cs="Arial"/>
        </w:rPr>
        <w:t xml:space="preserve"> Unitary Authority which would need to fund activities currently undertaken by Greater Wellington Regional Council in the </w:t>
      </w:r>
      <w:proofErr w:type="spellStart"/>
      <w:r w:rsidRPr="00302B84">
        <w:rPr>
          <w:rFonts w:cs="Arial"/>
        </w:rPr>
        <w:t>Wairarapa</w:t>
      </w:r>
      <w:proofErr w:type="spellEnd"/>
      <w:r w:rsidRPr="00302B84">
        <w:rPr>
          <w:rFonts w:cs="Arial"/>
        </w:rPr>
        <w:t xml:space="preserve"> which are currently funded in part by regional rates.</w:t>
      </w:r>
      <w:r w:rsidR="00AF36AC">
        <w:rPr>
          <w:rFonts w:cs="Arial"/>
        </w:rPr>
        <w:t xml:space="preserve"> (p.74)</w:t>
      </w:r>
    </w:p>
    <w:p w:rsidR="00302B84" w:rsidRDefault="00302B84" w:rsidP="00302B84">
      <w:pPr>
        <w:autoSpaceDE w:val="0"/>
        <w:autoSpaceDN w:val="0"/>
        <w:adjustRightInd w:val="0"/>
        <w:spacing w:after="0" w:line="240" w:lineRule="auto"/>
        <w:rPr>
          <w:rFonts w:cs="Arial"/>
        </w:rPr>
      </w:pPr>
    </w:p>
    <w:p w:rsidR="00302B84" w:rsidRPr="00302B84" w:rsidRDefault="00302B84" w:rsidP="00302B84">
      <w:pPr>
        <w:pStyle w:val="ListParagraph"/>
        <w:numPr>
          <w:ilvl w:val="0"/>
          <w:numId w:val="10"/>
        </w:numPr>
        <w:autoSpaceDE w:val="0"/>
        <w:autoSpaceDN w:val="0"/>
        <w:adjustRightInd w:val="0"/>
        <w:spacing w:after="0" w:line="240" w:lineRule="auto"/>
        <w:rPr>
          <w:rFonts w:cs="Arial"/>
        </w:rPr>
      </w:pPr>
      <w:r>
        <w:rPr>
          <w:rFonts w:cs="Arial"/>
        </w:rPr>
        <w:t xml:space="preserve">It seems probable that the subsidies currently provided to the </w:t>
      </w:r>
      <w:proofErr w:type="spellStart"/>
      <w:r>
        <w:rPr>
          <w:rFonts w:cs="Arial"/>
        </w:rPr>
        <w:t>Wairarapa</w:t>
      </w:r>
      <w:proofErr w:type="spellEnd"/>
      <w:r>
        <w:rPr>
          <w:rFonts w:cs="Arial"/>
        </w:rPr>
        <w:t xml:space="preserve"> councils through regional rates would need to be replaced in some way</w:t>
      </w:r>
      <w:r w:rsidR="00525E0D">
        <w:rPr>
          <w:rFonts w:cs="Arial"/>
        </w:rPr>
        <w:t>. The question arising is whether that is properly a responsibility of ratepayers in the Wellington urban complex, as at present, or of central government.</w:t>
      </w:r>
    </w:p>
    <w:p w:rsidR="008A552A" w:rsidRDefault="008A552A" w:rsidP="009A378B">
      <w:pPr>
        <w:spacing w:after="0"/>
      </w:pPr>
    </w:p>
    <w:p w:rsidR="00525E0D" w:rsidRPr="00525E0D" w:rsidRDefault="00525E0D" w:rsidP="00525E0D">
      <w:pPr>
        <w:pBdr>
          <w:top w:val="single" w:sz="4" w:space="1" w:color="auto"/>
          <w:left w:val="single" w:sz="4" w:space="4" w:color="auto"/>
          <w:bottom w:val="single" w:sz="4" w:space="1" w:color="auto"/>
          <w:right w:val="single" w:sz="4" w:space="4" w:color="auto"/>
        </w:pBdr>
        <w:spacing w:after="0"/>
        <w:rPr>
          <w:i/>
          <w:sz w:val="24"/>
          <w:szCs w:val="24"/>
        </w:rPr>
      </w:pPr>
      <w:r w:rsidRPr="00525E0D">
        <w:rPr>
          <w:i/>
          <w:sz w:val="24"/>
          <w:szCs w:val="24"/>
        </w:rPr>
        <w:t xml:space="preserve">In the short term, the best approach appears to be to transfer both </w:t>
      </w:r>
      <w:proofErr w:type="spellStart"/>
      <w:r w:rsidRPr="00525E0D">
        <w:rPr>
          <w:i/>
          <w:sz w:val="24"/>
          <w:szCs w:val="24"/>
        </w:rPr>
        <w:t>Kapiti</w:t>
      </w:r>
      <w:proofErr w:type="spellEnd"/>
      <w:r w:rsidRPr="00525E0D">
        <w:rPr>
          <w:i/>
          <w:sz w:val="24"/>
          <w:szCs w:val="24"/>
        </w:rPr>
        <w:t xml:space="preserve"> and the </w:t>
      </w:r>
      <w:proofErr w:type="spellStart"/>
      <w:r w:rsidRPr="00525E0D">
        <w:rPr>
          <w:i/>
          <w:sz w:val="24"/>
          <w:szCs w:val="24"/>
        </w:rPr>
        <w:t>Wairarapa</w:t>
      </w:r>
      <w:proofErr w:type="spellEnd"/>
      <w:r w:rsidRPr="00525E0D">
        <w:rPr>
          <w:i/>
          <w:sz w:val="24"/>
          <w:szCs w:val="24"/>
        </w:rPr>
        <w:t xml:space="preserve"> to the Horizons region, coupled with a merger of the three </w:t>
      </w:r>
      <w:proofErr w:type="spellStart"/>
      <w:r w:rsidRPr="00525E0D">
        <w:rPr>
          <w:i/>
          <w:sz w:val="24"/>
          <w:szCs w:val="24"/>
        </w:rPr>
        <w:t>Wairarapa</w:t>
      </w:r>
      <w:proofErr w:type="spellEnd"/>
      <w:r w:rsidRPr="00525E0D">
        <w:rPr>
          <w:i/>
          <w:sz w:val="24"/>
          <w:szCs w:val="24"/>
        </w:rPr>
        <w:t xml:space="preserve"> councils and consideration of whether and how current subsidies provided to the </w:t>
      </w:r>
      <w:proofErr w:type="spellStart"/>
      <w:r w:rsidRPr="00525E0D">
        <w:rPr>
          <w:i/>
          <w:sz w:val="24"/>
          <w:szCs w:val="24"/>
        </w:rPr>
        <w:t>Wairarapa</w:t>
      </w:r>
      <w:proofErr w:type="spellEnd"/>
      <w:r w:rsidRPr="00525E0D">
        <w:rPr>
          <w:i/>
          <w:sz w:val="24"/>
          <w:szCs w:val="24"/>
        </w:rPr>
        <w:t xml:space="preserve"> via Greater Wellington regional rates should be replaced.</w:t>
      </w:r>
    </w:p>
    <w:p w:rsidR="00525E0D" w:rsidRDefault="00525E0D" w:rsidP="009A378B">
      <w:pPr>
        <w:spacing w:after="0"/>
        <w:rPr>
          <w:b/>
        </w:rPr>
      </w:pPr>
    </w:p>
    <w:p w:rsidR="00525E0D" w:rsidRDefault="00525E0D" w:rsidP="009A378B">
      <w:pPr>
        <w:spacing w:after="0"/>
        <w:rPr>
          <w:b/>
        </w:rPr>
      </w:pPr>
    </w:p>
    <w:p w:rsidR="00DE2F19" w:rsidRPr="00650986" w:rsidRDefault="00525E0D" w:rsidP="009A378B">
      <w:pPr>
        <w:spacing w:after="0"/>
        <w:rPr>
          <w:b/>
          <w:sz w:val="28"/>
          <w:szCs w:val="28"/>
        </w:rPr>
      </w:pPr>
      <w:r w:rsidRPr="00650986">
        <w:rPr>
          <w:b/>
          <w:sz w:val="28"/>
          <w:szCs w:val="28"/>
        </w:rPr>
        <w:t>5.</w:t>
      </w:r>
      <w:r w:rsidRPr="00650986">
        <w:rPr>
          <w:b/>
          <w:sz w:val="28"/>
          <w:szCs w:val="28"/>
        </w:rPr>
        <w:tab/>
      </w:r>
      <w:r w:rsidR="00650986" w:rsidRPr="00650986">
        <w:rPr>
          <w:b/>
          <w:sz w:val="28"/>
          <w:szCs w:val="28"/>
        </w:rPr>
        <w:t>A metropolitan council</w:t>
      </w:r>
    </w:p>
    <w:p w:rsidR="00DE2F19" w:rsidRDefault="00DE2F19" w:rsidP="009A378B">
      <w:pPr>
        <w:spacing w:after="0"/>
        <w:rPr>
          <w:b/>
        </w:rPr>
      </w:pPr>
    </w:p>
    <w:p w:rsidR="00650986" w:rsidRDefault="00650986" w:rsidP="009A378B">
      <w:pPr>
        <w:spacing w:after="0"/>
      </w:pPr>
      <w:r w:rsidRPr="00650986">
        <w:t xml:space="preserve">As noted previously, the core of the Wellington region is the integrated urban complex </w:t>
      </w:r>
      <w:r>
        <w:t xml:space="preserve">(truly a metropolitan area of around 400,000 people) </w:t>
      </w:r>
      <w:r w:rsidRPr="00650986">
        <w:t xml:space="preserve">contained in the cities of Wellington, Hutt, Upper Hutt and </w:t>
      </w:r>
      <w:proofErr w:type="spellStart"/>
      <w:r w:rsidRPr="00650986">
        <w:t>Porirua</w:t>
      </w:r>
      <w:proofErr w:type="spellEnd"/>
      <w:r w:rsidRPr="00650986">
        <w:t>.</w:t>
      </w:r>
      <w:r>
        <w:t xml:space="preserve"> Certainly, those four cities each display – to varying degrees – a distinct identity in terms of geography, physical character, economic development and socio-economic profiles, but such variations are true of any metropolitan area. The question is whether it is prudent to maintain the current division of governance into four territorial authorities and a regional council – bearing in mind also the overlay of central government agencies.</w:t>
      </w:r>
    </w:p>
    <w:p w:rsidR="00650986" w:rsidRDefault="00650986" w:rsidP="009A378B">
      <w:pPr>
        <w:spacing w:after="0"/>
      </w:pPr>
    </w:p>
    <w:p w:rsidR="00650986" w:rsidRDefault="00650986" w:rsidP="009A378B">
      <w:pPr>
        <w:spacing w:after="0"/>
      </w:pPr>
      <w:r>
        <w:t>From the preceding discussion, the key drivers for a change in governance with respect to the metropolitan area include:</w:t>
      </w:r>
    </w:p>
    <w:p w:rsidR="00650986" w:rsidRDefault="00650986" w:rsidP="009A378B">
      <w:pPr>
        <w:spacing w:after="0"/>
      </w:pPr>
    </w:p>
    <w:p w:rsidR="00650986" w:rsidRDefault="00650986" w:rsidP="00650986">
      <w:pPr>
        <w:pStyle w:val="ListParagraph"/>
        <w:numPr>
          <w:ilvl w:val="0"/>
          <w:numId w:val="5"/>
        </w:numPr>
        <w:autoSpaceDE w:val="0"/>
        <w:autoSpaceDN w:val="0"/>
        <w:adjustRightInd w:val="0"/>
        <w:spacing w:after="0"/>
      </w:pPr>
      <w:r>
        <w:t>The need for better coordinated strategic planning and provision of major infrastructure and services to support expected population growth in the main urban areas</w:t>
      </w:r>
    </w:p>
    <w:p w:rsidR="00650986" w:rsidRDefault="00650986" w:rsidP="00650986">
      <w:pPr>
        <w:pStyle w:val="ListParagraph"/>
        <w:numPr>
          <w:ilvl w:val="0"/>
          <w:numId w:val="5"/>
        </w:numPr>
        <w:autoSpaceDE w:val="0"/>
        <w:autoSpaceDN w:val="0"/>
        <w:adjustRightInd w:val="0"/>
        <w:spacing w:after="0"/>
      </w:pPr>
      <w:r>
        <w:t xml:space="preserve">The desirability of </w:t>
      </w:r>
      <w:r w:rsidR="004F44FA">
        <w:t xml:space="preserve">an </w:t>
      </w:r>
      <w:r>
        <w:t xml:space="preserve">enhanced </w:t>
      </w:r>
      <w:r w:rsidR="004F44FA">
        <w:t xml:space="preserve">framework </w:t>
      </w:r>
      <w:r>
        <w:t>to promote economic development</w:t>
      </w:r>
      <w:r w:rsidR="004F44FA">
        <w:t xml:space="preserve"> and for Wellington to function as both an effective partner of Auckland and a ‘</w:t>
      </w:r>
      <w:r w:rsidR="00096E84">
        <w:t>provincial</w:t>
      </w:r>
      <w:r w:rsidR="004F44FA">
        <w:t xml:space="preserve"> capital’ for much of the southern half of the South Island and Marlborough-Nelson-Tasman.</w:t>
      </w:r>
    </w:p>
    <w:p w:rsidR="004F44FA" w:rsidRDefault="004F44FA" w:rsidP="004F44FA">
      <w:pPr>
        <w:autoSpaceDE w:val="0"/>
        <w:autoSpaceDN w:val="0"/>
        <w:adjustRightInd w:val="0"/>
        <w:spacing w:after="0"/>
      </w:pPr>
    </w:p>
    <w:p w:rsidR="004F44FA" w:rsidRDefault="004F44FA" w:rsidP="004F44FA">
      <w:pPr>
        <w:autoSpaceDE w:val="0"/>
        <w:autoSpaceDN w:val="0"/>
        <w:adjustRightInd w:val="0"/>
        <w:spacing w:after="0"/>
      </w:pPr>
      <w:r>
        <w:t>Whilst there is presently no crisis in metropolitan management, it seems clear that the current fragmentation of local and regional governance will increasingly hinder efforts to address these strategic issues. For example, it is very difficult for an outsider to understand the logic of having responsibility for key decisions about the future of the Wellington CBD split between the City and the Regional Council. Similarly, it makes no sense for adjoining authorities to compete in promoting economic and commercial development, or to fail to collaborate in the provision of major services, especially in a climate of fiscal austerity.</w:t>
      </w:r>
    </w:p>
    <w:p w:rsidR="004F44FA" w:rsidRDefault="004F44FA" w:rsidP="004F44FA">
      <w:pPr>
        <w:autoSpaceDE w:val="0"/>
        <w:autoSpaceDN w:val="0"/>
        <w:adjustRightInd w:val="0"/>
        <w:spacing w:after="0"/>
      </w:pPr>
    </w:p>
    <w:p w:rsidR="00096E84" w:rsidRDefault="00A642F7" w:rsidP="00A642F7">
      <w:pPr>
        <w:spacing w:after="0"/>
      </w:pPr>
      <w:r>
        <w:t>T</w:t>
      </w:r>
      <w:r w:rsidR="00096E84">
        <w:t xml:space="preserve">he </w:t>
      </w:r>
      <w:r>
        <w:t>primacy, image</w:t>
      </w:r>
      <w:r w:rsidR="00096E84">
        <w:t xml:space="preserve"> and functioning of the central business district</w:t>
      </w:r>
      <w:r>
        <w:t xml:space="preserve"> is a critical consideration in the future of Wellington </w:t>
      </w:r>
      <w:r w:rsidR="00096E84">
        <w:t xml:space="preserve">as the national capital, as a significant metropolitan </w:t>
      </w:r>
      <w:proofErr w:type="spellStart"/>
      <w:r w:rsidR="00096E84">
        <w:t>centre</w:t>
      </w:r>
      <w:proofErr w:type="spellEnd"/>
      <w:r w:rsidR="00096E84">
        <w:t xml:space="preserve"> of some international significance (at least in Australasia, the Pacific and adjoining South-East Asia), and as a partner for Auckland</w:t>
      </w:r>
      <w:r>
        <w:t>. Whilst the</w:t>
      </w:r>
      <w:r w:rsidR="00096E84">
        <w:t xml:space="preserve"> CBD is currently well served by the City of Wellington, its primacy across the whole metropolitan area </w:t>
      </w:r>
      <w:r>
        <w:t xml:space="preserve">is open to challenge by the decisions of other councils, and </w:t>
      </w:r>
      <w:r w:rsidR="00096E84">
        <w:t xml:space="preserve">needs to be reinforced through </w:t>
      </w:r>
      <w:r>
        <w:t xml:space="preserve">integrated </w:t>
      </w:r>
      <w:r w:rsidR="00096E84">
        <w:t>strategic planning</w:t>
      </w:r>
      <w:r>
        <w:t xml:space="preserve"> and infrastructure investment</w:t>
      </w:r>
      <w:r w:rsidR="00096E84">
        <w:t xml:space="preserve">. </w:t>
      </w:r>
    </w:p>
    <w:p w:rsidR="00096E84" w:rsidRDefault="00096E84" w:rsidP="004F44FA">
      <w:pPr>
        <w:autoSpaceDE w:val="0"/>
        <w:autoSpaceDN w:val="0"/>
        <w:adjustRightInd w:val="0"/>
        <w:spacing w:after="0"/>
      </w:pPr>
    </w:p>
    <w:p w:rsidR="00476616" w:rsidRDefault="004F44FA" w:rsidP="004F44FA">
      <w:pPr>
        <w:autoSpaceDE w:val="0"/>
        <w:autoSpaceDN w:val="0"/>
        <w:adjustRightInd w:val="0"/>
        <w:spacing w:after="0"/>
      </w:pPr>
      <w:r>
        <w:t xml:space="preserve">There is, of course, the argument that </w:t>
      </w:r>
      <w:r w:rsidR="00476616">
        <w:t>more joint planning and increased use of mechanisms for shared service delivery can address these concerns.  However, there is a dearth of evidence to suggest that such arrangements can be guaranteed to produce the results required. On closer inspection, even seemingly successful collaborative ventures such as Metro Vancouver can be seen to have their limitations – and most certainly do not produce the level of cohesion sought by those concerned with the ‘Auckland effect’.</w:t>
      </w:r>
    </w:p>
    <w:p w:rsidR="00D845EB" w:rsidRDefault="00D845EB" w:rsidP="004F44FA">
      <w:pPr>
        <w:autoSpaceDE w:val="0"/>
        <w:autoSpaceDN w:val="0"/>
        <w:adjustRightInd w:val="0"/>
        <w:spacing w:after="0"/>
      </w:pPr>
    </w:p>
    <w:p w:rsidR="00ED1469" w:rsidRDefault="00D845EB" w:rsidP="004F44FA">
      <w:pPr>
        <w:autoSpaceDE w:val="0"/>
        <w:autoSpaceDN w:val="0"/>
        <w:adjustRightInd w:val="0"/>
        <w:spacing w:after="0"/>
      </w:pPr>
      <w:r>
        <w:t>Recent research by the Australian Centre of Excellence for Local Government (ACELG)</w:t>
      </w:r>
      <w:r w:rsidR="00594430">
        <w:rPr>
          <w:rStyle w:val="FootnoteReference"/>
        </w:rPr>
        <w:footnoteReference w:id="2"/>
      </w:r>
      <w:r>
        <w:t xml:space="preserve"> concluded that the primary benefit of increasing the scale of local government is to enhance ‘strategic capacity’</w:t>
      </w:r>
      <w:r w:rsidR="00ED1469">
        <w:t xml:space="preserve">. ACELG (2011: </w:t>
      </w:r>
      <w:r w:rsidR="00AF36AC">
        <w:t>4</w:t>
      </w:r>
      <w:r w:rsidR="00ED1469">
        <w:t>) observed that:</w:t>
      </w:r>
    </w:p>
    <w:p w:rsidR="00ED1469" w:rsidRDefault="00ED1469" w:rsidP="004F44FA">
      <w:pPr>
        <w:autoSpaceDE w:val="0"/>
        <w:autoSpaceDN w:val="0"/>
        <w:adjustRightInd w:val="0"/>
        <w:spacing w:after="0"/>
      </w:pPr>
    </w:p>
    <w:p w:rsidR="00D845EB" w:rsidRDefault="00ED1469" w:rsidP="00BE1914">
      <w:pPr>
        <w:autoSpaceDE w:val="0"/>
        <w:autoSpaceDN w:val="0"/>
        <w:adjustRightInd w:val="0"/>
        <w:spacing w:after="0" w:line="240" w:lineRule="auto"/>
        <w:ind w:left="720"/>
      </w:pPr>
      <w:r w:rsidRPr="00ED1469">
        <w:t xml:space="preserve">In recent years the need or desire to strengthen local government’s strategic capacity to play an expanded and more prominent role has emerged as a key variable in programs of local government reform.  This developing view of the role of councils requires that they are not just financially robust but also have the skills and resources </w:t>
      </w:r>
      <w:r w:rsidRPr="00ED1469">
        <w:rPr>
          <w:i/>
        </w:rPr>
        <w:t>‘</w:t>
      </w:r>
      <w:r w:rsidRPr="00ED1469">
        <w:t xml:space="preserve">to be high capacity </w:t>
      </w:r>
      <w:proofErr w:type="spellStart"/>
      <w:r w:rsidRPr="00ED1469">
        <w:t>organisations</w:t>
      </w:r>
      <w:proofErr w:type="spellEnd"/>
      <w:r w:rsidRPr="00ED1469">
        <w:t xml:space="preserve"> with the requisite knowledge, creativity and innovation to enable them to manage complex change’</w:t>
      </w:r>
      <w:r w:rsidR="00F92D58">
        <w:t>.</w:t>
      </w:r>
      <w:r w:rsidRPr="00ED1469">
        <w:rPr>
          <w:rStyle w:val="FootnoteReference"/>
        </w:rPr>
        <w:footnoteReference w:id="3"/>
      </w:r>
      <w:r w:rsidRPr="00ED1469">
        <w:t xml:space="preserve">  This rationale for consolidation may be particularly relevant in metropolitan areas and rapidly </w:t>
      </w:r>
      <w:r w:rsidRPr="00ED1469">
        <w:lastRenderedPageBreak/>
        <w:t>developing regions ... It is also linked to new concepts of local government’s role such as ‘place-shaping’ and – in the UK – ‘Total Place’.</w:t>
      </w:r>
      <w:r>
        <w:t xml:space="preserve"> </w:t>
      </w:r>
    </w:p>
    <w:p w:rsidR="00ED1469" w:rsidRDefault="00ED1469" w:rsidP="00ED1469">
      <w:pPr>
        <w:autoSpaceDE w:val="0"/>
        <w:autoSpaceDN w:val="0"/>
        <w:adjustRightInd w:val="0"/>
        <w:spacing w:after="0"/>
      </w:pPr>
    </w:p>
    <w:p w:rsidR="00ED1469" w:rsidRDefault="00BE1914" w:rsidP="00ED1469">
      <w:pPr>
        <w:autoSpaceDE w:val="0"/>
        <w:autoSpaceDN w:val="0"/>
        <w:adjustRightInd w:val="0"/>
        <w:spacing w:after="0"/>
      </w:pPr>
      <w:r>
        <w:t xml:space="preserve">Referring specifically to Australia, </w:t>
      </w:r>
      <w:r w:rsidR="00ED1469">
        <w:t>ACELG (2011:</w:t>
      </w:r>
      <w:r w:rsidR="00AF36AC">
        <w:t xml:space="preserve"> 8</w:t>
      </w:r>
      <w:r w:rsidR="00ED1469">
        <w:t xml:space="preserve">) </w:t>
      </w:r>
      <w:r>
        <w:t>found</w:t>
      </w:r>
      <w:r w:rsidR="00ED1469">
        <w:t xml:space="preserve"> that:</w:t>
      </w:r>
    </w:p>
    <w:p w:rsidR="00ED1469" w:rsidRDefault="00ED1469" w:rsidP="00ED1469">
      <w:pPr>
        <w:pStyle w:val="ColorfulList-Accent11"/>
        <w:ind w:left="0"/>
        <w:rPr>
          <w:lang w:val="en-AU"/>
        </w:rPr>
      </w:pPr>
    </w:p>
    <w:p w:rsidR="00ED1469" w:rsidRPr="00ED1469" w:rsidRDefault="00ED1469" w:rsidP="00ED1469">
      <w:pPr>
        <w:pStyle w:val="ColorfulList-Accent11"/>
        <w:rPr>
          <w:rFonts w:asciiTheme="minorHAnsi" w:hAnsiTheme="minorHAnsi"/>
          <w:sz w:val="22"/>
          <w:szCs w:val="22"/>
          <w:lang w:val="en-AU"/>
        </w:rPr>
      </w:pPr>
      <w:r w:rsidRPr="00ED1469">
        <w:rPr>
          <w:rFonts w:asciiTheme="minorHAnsi" w:hAnsiTheme="minorHAnsi"/>
          <w:sz w:val="22"/>
          <w:szCs w:val="22"/>
          <w:lang w:val="en-AU"/>
        </w:rPr>
        <w:t>The available evidence points to a particular need for ongoing consolidation of local government activities in metropolitan areas</w:t>
      </w:r>
      <w:r w:rsidR="00BE1914">
        <w:rPr>
          <w:rFonts w:asciiTheme="minorHAnsi" w:hAnsiTheme="minorHAnsi"/>
          <w:sz w:val="22"/>
          <w:szCs w:val="22"/>
          <w:lang w:val="en-AU"/>
        </w:rPr>
        <w:t xml:space="preserve"> </w:t>
      </w:r>
      <w:r w:rsidRPr="00ED1469">
        <w:rPr>
          <w:rFonts w:asciiTheme="minorHAnsi" w:hAnsiTheme="minorHAnsi"/>
          <w:sz w:val="22"/>
          <w:szCs w:val="22"/>
          <w:lang w:val="en-AU"/>
        </w:rPr>
        <w:t>.</w:t>
      </w:r>
      <w:r w:rsidR="00BE1914">
        <w:rPr>
          <w:rFonts w:asciiTheme="minorHAnsi" w:hAnsiTheme="minorHAnsi"/>
          <w:sz w:val="22"/>
          <w:szCs w:val="22"/>
          <w:lang w:val="en-AU"/>
        </w:rPr>
        <w:t>..</w:t>
      </w:r>
      <w:r w:rsidRPr="00ED1469">
        <w:rPr>
          <w:rFonts w:asciiTheme="minorHAnsi" w:hAnsiTheme="minorHAnsi"/>
          <w:sz w:val="22"/>
          <w:szCs w:val="22"/>
          <w:lang w:val="en-AU"/>
        </w:rPr>
        <w:t xml:space="preserve"> There is a widespread view that this calls for substantially larger local government units </w:t>
      </w:r>
      <w:r w:rsidRPr="00ED1469">
        <w:rPr>
          <w:rFonts w:asciiTheme="minorHAnsi" w:hAnsiTheme="minorHAnsi"/>
          <w:i/>
          <w:sz w:val="22"/>
          <w:szCs w:val="22"/>
          <w:lang w:val="en-AU"/>
        </w:rPr>
        <w:t>as well as</w:t>
      </w:r>
      <w:r w:rsidRPr="00ED1469">
        <w:rPr>
          <w:rFonts w:asciiTheme="minorHAnsi" w:hAnsiTheme="minorHAnsi"/>
          <w:sz w:val="22"/>
          <w:szCs w:val="22"/>
          <w:lang w:val="en-AU"/>
        </w:rPr>
        <w:t xml:space="preserve"> collaborative planning and resource sharing.</w:t>
      </w:r>
    </w:p>
    <w:p w:rsidR="00ED1469" w:rsidRDefault="00ED1469" w:rsidP="00ED1469">
      <w:pPr>
        <w:autoSpaceDE w:val="0"/>
        <w:autoSpaceDN w:val="0"/>
        <w:adjustRightInd w:val="0"/>
        <w:spacing w:after="0"/>
      </w:pPr>
    </w:p>
    <w:p w:rsidR="00ED1469" w:rsidRPr="00ED1469" w:rsidRDefault="00BE1914" w:rsidP="00ED1469">
      <w:pPr>
        <w:autoSpaceDE w:val="0"/>
        <w:autoSpaceDN w:val="0"/>
        <w:adjustRightInd w:val="0"/>
        <w:spacing w:after="0"/>
      </w:pPr>
      <w:r>
        <w:t>These findings appear highly relevant to the Wellington situation.</w:t>
      </w:r>
    </w:p>
    <w:p w:rsidR="00476616" w:rsidRDefault="00476616" w:rsidP="004F44FA">
      <w:pPr>
        <w:autoSpaceDE w:val="0"/>
        <w:autoSpaceDN w:val="0"/>
        <w:adjustRightInd w:val="0"/>
        <w:spacing w:after="0"/>
      </w:pPr>
    </w:p>
    <w:p w:rsidR="004F44FA" w:rsidRPr="00D845EB" w:rsidRDefault="00476616" w:rsidP="00D845EB">
      <w:pPr>
        <w:pBdr>
          <w:top w:val="single" w:sz="4" w:space="1" w:color="auto"/>
          <w:left w:val="single" w:sz="4" w:space="4" w:color="auto"/>
          <w:bottom w:val="single" w:sz="4" w:space="1" w:color="auto"/>
          <w:right w:val="single" w:sz="4" w:space="4" w:color="auto"/>
        </w:pBdr>
        <w:autoSpaceDE w:val="0"/>
        <w:autoSpaceDN w:val="0"/>
        <w:adjustRightInd w:val="0"/>
        <w:spacing w:after="0"/>
        <w:rPr>
          <w:i/>
          <w:sz w:val="24"/>
          <w:szCs w:val="24"/>
        </w:rPr>
      </w:pPr>
      <w:r w:rsidRPr="00D845EB">
        <w:rPr>
          <w:i/>
          <w:sz w:val="24"/>
          <w:szCs w:val="24"/>
        </w:rPr>
        <w:t>In effect, therefore, th</w:t>
      </w:r>
      <w:r w:rsidR="00086090">
        <w:rPr>
          <w:i/>
          <w:sz w:val="24"/>
          <w:szCs w:val="24"/>
        </w:rPr>
        <w:t xml:space="preserve">is analysis supports </w:t>
      </w:r>
      <w:r w:rsidRPr="00D845EB">
        <w:rPr>
          <w:i/>
          <w:sz w:val="24"/>
          <w:szCs w:val="24"/>
        </w:rPr>
        <w:t xml:space="preserve">the strategic proposition advanced by the group of regional </w:t>
      </w:r>
      <w:proofErr w:type="spellStart"/>
      <w:r w:rsidRPr="00D845EB">
        <w:rPr>
          <w:i/>
          <w:sz w:val="24"/>
          <w:szCs w:val="24"/>
        </w:rPr>
        <w:t>council</w:t>
      </w:r>
      <w:r w:rsidR="00D845EB">
        <w:rPr>
          <w:i/>
          <w:sz w:val="24"/>
          <w:szCs w:val="24"/>
        </w:rPr>
        <w:t>l</w:t>
      </w:r>
      <w:r w:rsidRPr="00D845EB">
        <w:rPr>
          <w:i/>
          <w:sz w:val="24"/>
          <w:szCs w:val="24"/>
        </w:rPr>
        <w:t>ors</w:t>
      </w:r>
      <w:proofErr w:type="spellEnd"/>
      <w:r w:rsidR="00D845EB" w:rsidRPr="00D845EB">
        <w:rPr>
          <w:i/>
          <w:sz w:val="24"/>
          <w:szCs w:val="24"/>
        </w:rPr>
        <w:t xml:space="preserve"> in </w:t>
      </w:r>
      <w:r w:rsidR="00D845EB" w:rsidRPr="00D845EB">
        <w:rPr>
          <w:rFonts w:cs="Times New Roman"/>
          <w:bCs/>
          <w:i/>
          <w:sz w:val="24"/>
          <w:szCs w:val="24"/>
        </w:rPr>
        <w:t>‘Some ideas on local government reform in Wellington’</w:t>
      </w:r>
      <w:r w:rsidR="00D845EB" w:rsidRPr="00D845EB">
        <w:rPr>
          <w:i/>
          <w:sz w:val="24"/>
          <w:szCs w:val="24"/>
        </w:rPr>
        <w:t>, but on the basis that the area to be governed is the Wellington metropolitan complex, NOT the Greater Wellington region.</w:t>
      </w:r>
    </w:p>
    <w:p w:rsidR="00650986" w:rsidRDefault="00650986" w:rsidP="009A378B">
      <w:pPr>
        <w:spacing w:after="0"/>
      </w:pPr>
    </w:p>
    <w:p w:rsidR="00650986" w:rsidRPr="00086090" w:rsidRDefault="00086090" w:rsidP="009A378B">
      <w:pPr>
        <w:spacing w:after="0"/>
        <w:rPr>
          <w:b/>
          <w:i/>
          <w:sz w:val="24"/>
          <w:szCs w:val="24"/>
        </w:rPr>
      </w:pPr>
      <w:r w:rsidRPr="00086090">
        <w:rPr>
          <w:b/>
          <w:i/>
          <w:sz w:val="24"/>
          <w:szCs w:val="24"/>
        </w:rPr>
        <w:t>‘Residual’ regional functions</w:t>
      </w:r>
    </w:p>
    <w:p w:rsidR="00650986" w:rsidRPr="00650986" w:rsidRDefault="00650986" w:rsidP="009A378B">
      <w:pPr>
        <w:spacing w:after="0"/>
      </w:pPr>
    </w:p>
    <w:p w:rsidR="00650986" w:rsidRDefault="00086090" w:rsidP="009A378B">
      <w:pPr>
        <w:spacing w:after="0"/>
      </w:pPr>
      <w:r w:rsidRPr="00086090">
        <w:t xml:space="preserve">It is assumed </w:t>
      </w:r>
      <w:r>
        <w:t xml:space="preserve">as a starting point </w:t>
      </w:r>
      <w:r w:rsidRPr="00086090">
        <w:t xml:space="preserve">that a new metropolitan council would </w:t>
      </w:r>
      <w:r w:rsidR="00594430">
        <w:t xml:space="preserve">be a unitary authority </w:t>
      </w:r>
      <w:r w:rsidRPr="00086090">
        <w:t>combin</w:t>
      </w:r>
      <w:r w:rsidR="00594430">
        <w:t>ing</w:t>
      </w:r>
      <w:r w:rsidRPr="00086090">
        <w:t xml:space="preserve"> all the current functions of the four territorial councils plus the regional council – whilst again acknowledging the possibility that some regional functions may in future be transferred to central agencies or special purpose authorities. </w:t>
      </w:r>
    </w:p>
    <w:p w:rsidR="00086090" w:rsidRDefault="00086090" w:rsidP="009A378B">
      <w:pPr>
        <w:spacing w:after="0"/>
      </w:pPr>
    </w:p>
    <w:p w:rsidR="00086090" w:rsidRDefault="00086090" w:rsidP="009A378B">
      <w:pPr>
        <w:spacing w:after="0"/>
      </w:pPr>
      <w:r>
        <w:t xml:space="preserve">However, there may be a need for a supplementary structure </w:t>
      </w:r>
      <w:r w:rsidR="00713044">
        <w:t xml:space="preserve">or structures </w:t>
      </w:r>
      <w:r>
        <w:t xml:space="preserve">to carry out some ‘residual’ regional functions that </w:t>
      </w:r>
      <w:r w:rsidR="00713044">
        <w:t>of necessity</w:t>
      </w:r>
      <w:r>
        <w:t xml:space="preserve"> embrace </w:t>
      </w:r>
      <w:proofErr w:type="spellStart"/>
      <w:r>
        <w:t>Kapiti</w:t>
      </w:r>
      <w:proofErr w:type="spellEnd"/>
      <w:r>
        <w:t xml:space="preserve"> and the </w:t>
      </w:r>
      <w:proofErr w:type="spellStart"/>
      <w:r>
        <w:t>Wairarapa</w:t>
      </w:r>
      <w:proofErr w:type="spellEnd"/>
      <w:r>
        <w:t xml:space="preserve"> – </w:t>
      </w:r>
      <w:r w:rsidR="00713044">
        <w:t xml:space="preserve">public transport and </w:t>
      </w:r>
      <w:r>
        <w:t xml:space="preserve">regional parks </w:t>
      </w:r>
      <w:r w:rsidR="00713044">
        <w:t>are good</w:t>
      </w:r>
      <w:r>
        <w:t xml:space="preserve"> example</w:t>
      </w:r>
      <w:r w:rsidR="00713044">
        <w:t>s</w:t>
      </w:r>
      <w:r>
        <w:t xml:space="preserve">. </w:t>
      </w:r>
      <w:r w:rsidR="00713044">
        <w:t>Depending on the functions involved t</w:t>
      </w:r>
      <w:r>
        <w:t xml:space="preserve">his could be either a transitional arrangement pending transfer to Horizons, or a permanent arrangement. </w:t>
      </w:r>
      <w:r w:rsidR="00713044">
        <w:t xml:space="preserve">One or more </w:t>
      </w:r>
      <w:r>
        <w:t>joint CCO</w:t>
      </w:r>
      <w:r w:rsidR="00713044">
        <w:t>s</w:t>
      </w:r>
      <w:r>
        <w:t xml:space="preserve"> </w:t>
      </w:r>
      <w:r w:rsidR="00713044">
        <w:t>might</w:t>
      </w:r>
      <w:r>
        <w:t xml:space="preserve"> be a practical solution.</w:t>
      </w:r>
      <w:r w:rsidR="00713044">
        <w:t xml:space="preserve"> Alternatively, the new metropolitan council could extend certain services into </w:t>
      </w:r>
      <w:proofErr w:type="spellStart"/>
      <w:r w:rsidR="00713044">
        <w:t>Kapiti</w:t>
      </w:r>
      <w:proofErr w:type="spellEnd"/>
      <w:r w:rsidR="00713044">
        <w:t xml:space="preserve"> and the </w:t>
      </w:r>
      <w:proofErr w:type="spellStart"/>
      <w:r w:rsidR="00713044">
        <w:t>Wairarapa</w:t>
      </w:r>
      <w:proofErr w:type="spellEnd"/>
      <w:r w:rsidR="00713044">
        <w:t>.</w:t>
      </w:r>
    </w:p>
    <w:p w:rsidR="00086090" w:rsidRDefault="00086090" w:rsidP="009A378B">
      <w:pPr>
        <w:spacing w:after="0"/>
      </w:pPr>
    </w:p>
    <w:p w:rsidR="00086090" w:rsidRPr="00086090" w:rsidRDefault="00086090" w:rsidP="009A378B">
      <w:pPr>
        <w:spacing w:after="0"/>
        <w:rPr>
          <w:b/>
          <w:i/>
          <w:sz w:val="24"/>
          <w:szCs w:val="24"/>
        </w:rPr>
      </w:pPr>
      <w:r w:rsidRPr="00086090">
        <w:rPr>
          <w:b/>
          <w:i/>
          <w:sz w:val="24"/>
          <w:szCs w:val="24"/>
        </w:rPr>
        <w:t>Structure and Representation</w:t>
      </w:r>
    </w:p>
    <w:p w:rsidR="00086090" w:rsidRDefault="00086090" w:rsidP="009A378B">
      <w:pPr>
        <w:spacing w:after="0"/>
      </w:pPr>
    </w:p>
    <w:p w:rsidR="00594430" w:rsidRDefault="00594430" w:rsidP="009A378B">
      <w:pPr>
        <w:spacing w:after="0"/>
      </w:pPr>
      <w:r>
        <w:t>The Auckland experience, coupled with stated government policy, suggests that a metropolitan council would comprise:</w:t>
      </w:r>
    </w:p>
    <w:p w:rsidR="00594430" w:rsidRDefault="00594430" w:rsidP="009A378B">
      <w:pPr>
        <w:spacing w:after="0"/>
      </w:pPr>
    </w:p>
    <w:p w:rsidR="00594430" w:rsidRDefault="00594430" w:rsidP="00594430">
      <w:pPr>
        <w:pStyle w:val="ListParagraph"/>
        <w:numPr>
          <w:ilvl w:val="0"/>
          <w:numId w:val="12"/>
        </w:numPr>
        <w:spacing w:after="0"/>
      </w:pPr>
      <w:r>
        <w:t>A ‘strong’ directly elected mayor who would lead policy, planning, budgeting and community engagement, as well as appointing his or her deputy and setting the framework for internal governance (establishing committees and perhaps appointing chairs)</w:t>
      </w:r>
    </w:p>
    <w:p w:rsidR="00594430" w:rsidRDefault="00594430" w:rsidP="00594430">
      <w:pPr>
        <w:pStyle w:val="ListParagraph"/>
        <w:numPr>
          <w:ilvl w:val="0"/>
          <w:numId w:val="12"/>
        </w:numPr>
        <w:spacing w:after="0"/>
      </w:pPr>
      <w:proofErr w:type="spellStart"/>
      <w:r>
        <w:t>Councillors</w:t>
      </w:r>
      <w:proofErr w:type="spellEnd"/>
      <w:r>
        <w:t xml:space="preserve"> elected by wards</w:t>
      </w:r>
    </w:p>
    <w:p w:rsidR="00594430" w:rsidRDefault="00594430" w:rsidP="00594430">
      <w:pPr>
        <w:pStyle w:val="ListParagraph"/>
        <w:numPr>
          <w:ilvl w:val="0"/>
          <w:numId w:val="12"/>
        </w:numPr>
        <w:spacing w:after="0"/>
      </w:pPr>
      <w:r>
        <w:t>Some form of ‘</w:t>
      </w:r>
      <w:proofErr w:type="spellStart"/>
      <w:r>
        <w:t>neighbourhood</w:t>
      </w:r>
      <w:proofErr w:type="spellEnd"/>
      <w:r>
        <w:t>’ governance</w:t>
      </w:r>
    </w:p>
    <w:p w:rsidR="00594430" w:rsidRDefault="00594430" w:rsidP="00594430">
      <w:pPr>
        <w:pStyle w:val="ListParagraph"/>
        <w:numPr>
          <w:ilvl w:val="0"/>
          <w:numId w:val="12"/>
        </w:numPr>
        <w:spacing w:after="0"/>
      </w:pPr>
      <w:r>
        <w:t>One or more CCOs for infrastructure and service delivery.</w:t>
      </w:r>
    </w:p>
    <w:p w:rsidR="00594430" w:rsidRDefault="00594430" w:rsidP="00594430">
      <w:pPr>
        <w:spacing w:after="0"/>
      </w:pPr>
    </w:p>
    <w:p w:rsidR="004A2862" w:rsidRDefault="004A2862" w:rsidP="009A378B">
      <w:pPr>
        <w:spacing w:after="0"/>
      </w:pPr>
      <w:r>
        <w:lastRenderedPageBreak/>
        <w:t xml:space="preserve">Getting agreement on the number of </w:t>
      </w:r>
      <w:proofErr w:type="spellStart"/>
      <w:r>
        <w:t>council</w:t>
      </w:r>
      <w:r w:rsidR="002507AD">
        <w:t>l</w:t>
      </w:r>
      <w:r>
        <w:t>ors</w:t>
      </w:r>
      <w:proofErr w:type="spellEnd"/>
      <w:r>
        <w:t xml:space="preserve"> and the pattern of wards will be crucial in smoothing the transition from the existing arrangements. Recent thinking in New Zealand and Australia has tended to promote the so-called ‘board of governors’ model, with a small number of </w:t>
      </w:r>
      <w:proofErr w:type="spellStart"/>
      <w:r>
        <w:t>councillors</w:t>
      </w:r>
      <w:proofErr w:type="spellEnd"/>
      <w:r>
        <w:t xml:space="preserve"> focused on a policy-making and oversight role, leaving management and/or CCOs in charge of operational matters. </w:t>
      </w:r>
    </w:p>
    <w:p w:rsidR="004A2862" w:rsidRDefault="004A2862" w:rsidP="009A378B">
      <w:pPr>
        <w:spacing w:after="0"/>
      </w:pPr>
      <w:r>
        <w:t xml:space="preserve">There are, however, countervailing views and practice. For example, </w:t>
      </w:r>
      <w:proofErr w:type="spellStart"/>
      <w:r>
        <w:t>Svara</w:t>
      </w:r>
      <w:proofErr w:type="spellEnd"/>
      <w:r w:rsidR="00AF36AC">
        <w:rPr>
          <w:rStyle w:val="FootnoteReference"/>
        </w:rPr>
        <w:footnoteReference w:id="4"/>
      </w:r>
      <w:r>
        <w:t xml:space="preserve"> has conducted detailed research into the evolution of </w:t>
      </w:r>
      <w:proofErr w:type="spellStart"/>
      <w:r>
        <w:t>council</w:t>
      </w:r>
      <w:r w:rsidR="00516F9A">
        <w:t>l</w:t>
      </w:r>
      <w:r>
        <w:t>or</w:t>
      </w:r>
      <w:proofErr w:type="spellEnd"/>
      <w:r>
        <w:t xml:space="preserve">-management roles and relations in American local government and his findings indicate that there is no clear-cut distinction between policy and administration, and </w:t>
      </w:r>
      <w:bookmarkStart w:id="0" w:name="_GoBack"/>
      <w:bookmarkEnd w:id="0"/>
      <w:r>
        <w:t>that the balance of roles shifts over time. Equally, the structure of Brisbane City Council that has worked successfully for several decades cuts across the ‘board of governors’ model. It involves:</w:t>
      </w:r>
    </w:p>
    <w:p w:rsidR="004A2862" w:rsidRDefault="004A2862" w:rsidP="009A378B">
      <w:pPr>
        <w:spacing w:after="0"/>
      </w:pPr>
    </w:p>
    <w:p w:rsidR="00B95E17" w:rsidRDefault="00B95E17" w:rsidP="00B95E17">
      <w:pPr>
        <w:pStyle w:val="ListParagraph"/>
        <w:numPr>
          <w:ilvl w:val="0"/>
          <w:numId w:val="13"/>
        </w:numPr>
        <w:spacing w:after="0"/>
      </w:pPr>
      <w:r>
        <w:t xml:space="preserve">A substantial number of </w:t>
      </w:r>
      <w:proofErr w:type="spellStart"/>
      <w:r>
        <w:t>councillors</w:t>
      </w:r>
      <w:proofErr w:type="spellEnd"/>
      <w:r>
        <w:t xml:space="preserve"> (26), elected in single member wards – all are full-time and have personal staff to help them fulfill both their representational and policy/oversight roles</w:t>
      </w:r>
    </w:p>
    <w:p w:rsidR="004A2862" w:rsidRDefault="00B95E17" w:rsidP="004A2862">
      <w:pPr>
        <w:pStyle w:val="ListParagraph"/>
        <w:numPr>
          <w:ilvl w:val="0"/>
          <w:numId w:val="13"/>
        </w:numPr>
        <w:spacing w:after="0"/>
      </w:pPr>
      <w:r>
        <w:t>A</w:t>
      </w:r>
      <w:r w:rsidR="004A2862">
        <w:t xml:space="preserve"> directly-elected executive mayor </w:t>
      </w:r>
      <w:r w:rsidR="00CF3C36">
        <w:t xml:space="preserve">with his/her own office </w:t>
      </w:r>
      <w:r w:rsidR="004A2862">
        <w:t xml:space="preserve">(but </w:t>
      </w:r>
      <w:r w:rsidR="00CF3C36">
        <w:t xml:space="preserve">also </w:t>
      </w:r>
      <w:r w:rsidR="004A2862">
        <w:t>retaining a CEO</w:t>
      </w:r>
      <w:r w:rsidR="00CF3C36">
        <w:t xml:space="preserve"> as head of administration</w:t>
      </w:r>
      <w:r w:rsidR="004A2862">
        <w:t>)</w:t>
      </w:r>
    </w:p>
    <w:p w:rsidR="004A2862" w:rsidRPr="00086090" w:rsidRDefault="00B95E17" w:rsidP="004A2862">
      <w:pPr>
        <w:pStyle w:val="ListParagraph"/>
        <w:numPr>
          <w:ilvl w:val="0"/>
          <w:numId w:val="13"/>
        </w:numPr>
        <w:spacing w:after="0"/>
      </w:pPr>
      <w:r>
        <w:t>A</w:t>
      </w:r>
      <w:r w:rsidR="004A2862">
        <w:t xml:space="preserve"> ‘civic cabinet’ appointed by the mayor</w:t>
      </w:r>
      <w:r>
        <w:t>, with cabinet members also exercising delegated executive functions</w:t>
      </w:r>
      <w:r w:rsidR="004A2862">
        <w:t>.</w:t>
      </w:r>
    </w:p>
    <w:p w:rsidR="00650986" w:rsidRDefault="00650986" w:rsidP="009A378B">
      <w:pPr>
        <w:spacing w:after="0"/>
        <w:rPr>
          <w:b/>
        </w:rPr>
      </w:pPr>
    </w:p>
    <w:p w:rsidR="004A2862" w:rsidRDefault="004A2862" w:rsidP="009A378B">
      <w:pPr>
        <w:spacing w:after="0"/>
      </w:pPr>
      <w:r w:rsidRPr="00B95E17">
        <w:t xml:space="preserve">The ‘backbench and cabinet’ model is used throughout England, </w:t>
      </w:r>
      <w:r w:rsidR="00B95E17" w:rsidRPr="00B95E17">
        <w:t>sometimes in conjunction with a powerful, directly-elected mayor</w:t>
      </w:r>
      <w:r w:rsidR="00B95E17">
        <w:t>. There are also</w:t>
      </w:r>
      <w:r w:rsidR="00B95E17" w:rsidRPr="00B95E17">
        <w:t xml:space="preserve"> various forms of ‘</w:t>
      </w:r>
      <w:proofErr w:type="spellStart"/>
      <w:r w:rsidR="00B95E17" w:rsidRPr="00B95E17">
        <w:t>neighbourhood</w:t>
      </w:r>
      <w:proofErr w:type="spellEnd"/>
      <w:r w:rsidR="00B95E17" w:rsidRPr="00B95E17">
        <w:t>’ governance</w:t>
      </w:r>
      <w:r w:rsidR="00B95E17">
        <w:t xml:space="preserve">, such as </w:t>
      </w:r>
      <w:r w:rsidR="00B95E17" w:rsidRPr="00B95E17">
        <w:t>advisory local assemblies</w:t>
      </w:r>
      <w:r w:rsidR="00B95E17">
        <w:t xml:space="preserve"> and</w:t>
      </w:r>
      <w:r w:rsidR="00B95E17" w:rsidRPr="00B95E17">
        <w:t xml:space="preserve"> parish councils</w:t>
      </w:r>
      <w:r w:rsidR="00B95E17">
        <w:t xml:space="preserve"> – the latter with some power to raise revenue and make expenditure decisions</w:t>
      </w:r>
      <w:r w:rsidR="00B95E17" w:rsidRPr="00B95E17">
        <w:t xml:space="preserve">. </w:t>
      </w:r>
      <w:r w:rsidR="00B95E17">
        <w:t>Under the current coalition government, there have been moves to devolve elements of local government service delivery to community-based organizations.</w:t>
      </w:r>
    </w:p>
    <w:p w:rsidR="00CF3C36" w:rsidRDefault="00CF3C36" w:rsidP="009A378B">
      <w:pPr>
        <w:spacing w:after="0"/>
      </w:pPr>
    </w:p>
    <w:p w:rsidR="00CF3C36" w:rsidRDefault="00CF3C36" w:rsidP="009A378B">
      <w:pPr>
        <w:spacing w:after="0"/>
      </w:pPr>
      <w:r>
        <w:t xml:space="preserve">The average ratio of population to elected councilors </w:t>
      </w:r>
      <w:r w:rsidR="007549E8">
        <w:t xml:space="preserve">in England </w:t>
      </w:r>
      <w:r>
        <w:t>is about 5000:1. This approach would point to a far greater number than the 15 (including a mayor) envisaged in Wellington City Council’s discussion pape</w:t>
      </w:r>
      <w:r w:rsidR="007549E8">
        <w:t xml:space="preserve">r. Applying a ratio of 20,000:1 </w:t>
      </w:r>
      <w:r>
        <w:t xml:space="preserve">(very high by world standards for part-time </w:t>
      </w:r>
      <w:proofErr w:type="spellStart"/>
      <w:r>
        <w:t>councillors</w:t>
      </w:r>
      <w:proofErr w:type="spellEnd"/>
      <w:r>
        <w:t>)</w:t>
      </w:r>
      <w:r w:rsidR="007549E8">
        <w:t xml:space="preserve"> to the 2031 population projections would indicate 22 </w:t>
      </w:r>
      <w:proofErr w:type="spellStart"/>
      <w:r w:rsidR="007549E8">
        <w:t>councillors</w:t>
      </w:r>
      <w:proofErr w:type="spellEnd"/>
      <w:r w:rsidR="007549E8">
        <w:t xml:space="preserve"> plus a mayor. This equates to about 12 in the current Wellington City area, 5 in Hutt, 2 in Upper Hutt and 3 in </w:t>
      </w:r>
      <w:proofErr w:type="spellStart"/>
      <w:r w:rsidR="007549E8">
        <w:t>Porirua</w:t>
      </w:r>
      <w:proofErr w:type="spellEnd"/>
      <w:r w:rsidR="007549E8">
        <w:t xml:space="preserve">. If the number of councilors were limited to 15 (a ratio of about 30,000:1), then as in the case of Brisbane (currently 40,000:1), consideration should be given to full-time positions and perhaps support staff, at least for committee chairs or a ‘civic cabinet’.  </w:t>
      </w:r>
    </w:p>
    <w:p w:rsidR="00B95E17" w:rsidRDefault="00B95E17" w:rsidP="009A378B">
      <w:pPr>
        <w:spacing w:after="0"/>
      </w:pPr>
    </w:p>
    <w:p w:rsidR="00AF36AC" w:rsidRPr="00A642F7" w:rsidRDefault="00B95E17" w:rsidP="00516F9A">
      <w:pPr>
        <w:pBdr>
          <w:top w:val="single" w:sz="4" w:space="1" w:color="auto"/>
          <w:left w:val="single" w:sz="4" w:space="4" w:color="auto"/>
          <w:bottom w:val="single" w:sz="4" w:space="1" w:color="auto"/>
          <w:right w:val="single" w:sz="4" w:space="4" w:color="auto"/>
        </w:pBdr>
        <w:spacing w:after="0"/>
      </w:pPr>
      <w:r w:rsidRPr="007549E8">
        <w:rPr>
          <w:i/>
          <w:sz w:val="24"/>
          <w:szCs w:val="24"/>
        </w:rPr>
        <w:t xml:space="preserve">Thus in the case of Wellington there would be sound arguments in </w:t>
      </w:r>
      <w:proofErr w:type="spellStart"/>
      <w:r w:rsidRPr="007549E8">
        <w:rPr>
          <w:i/>
          <w:sz w:val="24"/>
          <w:szCs w:val="24"/>
        </w:rPr>
        <w:t>favour</w:t>
      </w:r>
      <w:proofErr w:type="spellEnd"/>
      <w:r w:rsidRPr="007549E8">
        <w:rPr>
          <w:i/>
          <w:sz w:val="24"/>
          <w:szCs w:val="24"/>
        </w:rPr>
        <w:t xml:space="preserve"> of ‘purpose-built’ representation and governance arrangements that </w:t>
      </w:r>
      <w:r w:rsidR="00CF3C36" w:rsidRPr="007549E8">
        <w:rPr>
          <w:i/>
          <w:sz w:val="24"/>
          <w:szCs w:val="24"/>
        </w:rPr>
        <w:t>would</w:t>
      </w:r>
      <w:r w:rsidRPr="007549E8">
        <w:rPr>
          <w:i/>
          <w:sz w:val="24"/>
          <w:szCs w:val="24"/>
        </w:rPr>
        <w:t xml:space="preserve"> differ fr</w:t>
      </w:r>
      <w:r w:rsidR="00516F9A">
        <w:rPr>
          <w:i/>
          <w:sz w:val="24"/>
          <w:szCs w:val="24"/>
        </w:rPr>
        <w:t>om recent New Zealand practice.</w:t>
      </w:r>
    </w:p>
    <w:sectPr w:rsidR="00AF36AC" w:rsidRPr="00A642F7" w:rsidSect="00516F9A">
      <w:footerReference w:type="default" r:id="rId9"/>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8C9" w:rsidRDefault="004558C9" w:rsidP="00392E4A">
      <w:pPr>
        <w:spacing w:after="0" w:line="240" w:lineRule="auto"/>
      </w:pPr>
      <w:r>
        <w:separator/>
      </w:r>
    </w:p>
  </w:endnote>
  <w:endnote w:type="continuationSeparator" w:id="0">
    <w:p w:rsidR="004558C9" w:rsidRDefault="004558C9" w:rsidP="00392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4657"/>
      <w:docPartObj>
        <w:docPartGallery w:val="Page Numbers (Bottom of Page)"/>
        <w:docPartUnique/>
      </w:docPartObj>
    </w:sdtPr>
    <w:sdtEndPr/>
    <w:sdtContent>
      <w:p w:rsidR="00096E84" w:rsidRDefault="00C40E87">
        <w:pPr>
          <w:pStyle w:val="Footer"/>
          <w:jc w:val="center"/>
        </w:pPr>
        <w:r>
          <w:fldChar w:fldCharType="begin"/>
        </w:r>
        <w:r>
          <w:instrText xml:space="preserve"> PAGE   \* MERGEFORMAT </w:instrText>
        </w:r>
        <w:r>
          <w:fldChar w:fldCharType="separate"/>
        </w:r>
        <w:r w:rsidR="002507AD">
          <w:rPr>
            <w:noProof/>
          </w:rPr>
          <w:t>8</w:t>
        </w:r>
        <w:r>
          <w:rPr>
            <w:noProof/>
          </w:rPr>
          <w:fldChar w:fldCharType="end"/>
        </w:r>
      </w:p>
    </w:sdtContent>
  </w:sdt>
  <w:p w:rsidR="00096E84" w:rsidRDefault="00096E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8C9" w:rsidRDefault="004558C9" w:rsidP="00392E4A">
      <w:pPr>
        <w:spacing w:after="0" w:line="240" w:lineRule="auto"/>
      </w:pPr>
      <w:r>
        <w:separator/>
      </w:r>
    </w:p>
  </w:footnote>
  <w:footnote w:type="continuationSeparator" w:id="0">
    <w:p w:rsidR="004558C9" w:rsidRDefault="004558C9" w:rsidP="00392E4A">
      <w:pPr>
        <w:spacing w:after="0" w:line="240" w:lineRule="auto"/>
      </w:pPr>
      <w:r>
        <w:continuationSeparator/>
      </w:r>
    </w:p>
  </w:footnote>
  <w:footnote w:id="1">
    <w:p w:rsidR="00096E84" w:rsidRPr="00392E4A" w:rsidRDefault="00096E84">
      <w:pPr>
        <w:pStyle w:val="FootnoteText"/>
        <w:rPr>
          <w:lang w:val="en-AU"/>
        </w:rPr>
      </w:pPr>
      <w:r>
        <w:rPr>
          <w:rStyle w:val="FootnoteReference"/>
        </w:rPr>
        <w:footnoteRef/>
      </w:r>
      <w:r>
        <w:t xml:space="preserve"> </w:t>
      </w:r>
      <w:r>
        <w:rPr>
          <w:lang w:val="en-AU"/>
        </w:rPr>
        <w:t>Director, Australian Centre of Excellence for Local Government and 2011-12 Don Trow Fellow, Centre for Accounting, Governance and Taxation Research, Victoria University of Wellington</w:t>
      </w:r>
    </w:p>
  </w:footnote>
  <w:footnote w:id="2">
    <w:p w:rsidR="00096E84" w:rsidRPr="00AF36AC" w:rsidRDefault="00096E84">
      <w:pPr>
        <w:pStyle w:val="FootnoteText"/>
        <w:rPr>
          <w:lang w:val="en-AU"/>
        </w:rPr>
      </w:pPr>
      <w:r w:rsidRPr="00AF36AC">
        <w:rPr>
          <w:rStyle w:val="FootnoteReference"/>
        </w:rPr>
        <w:footnoteRef/>
      </w:r>
      <w:r w:rsidRPr="00AF36AC">
        <w:t xml:space="preserve"> </w:t>
      </w:r>
      <w:r w:rsidR="00AF36AC" w:rsidRPr="00AF36AC">
        <w:t xml:space="preserve">Australian Centre of Excellence for Local Government (ACELG) </w:t>
      </w:r>
      <w:r w:rsidR="00AF36AC" w:rsidRPr="00AF36AC">
        <w:rPr>
          <w:i/>
        </w:rPr>
        <w:t>Consolidation on Local Government: A Fresh Look</w:t>
      </w:r>
      <w:r w:rsidR="00AF36AC" w:rsidRPr="00AF36AC">
        <w:t xml:space="preserve">, May 2011, viewed at </w:t>
      </w:r>
      <w:hyperlink r:id="rId1" w:history="1">
        <w:r w:rsidR="00AF36AC" w:rsidRPr="00AF36AC">
          <w:rPr>
            <w:rStyle w:val="Hyperlink"/>
            <w:sz w:val="20"/>
          </w:rPr>
          <w:t>http://www.acelg.org.au/library.php?id=mostRecent</w:t>
        </w:r>
      </w:hyperlink>
    </w:p>
  </w:footnote>
  <w:footnote w:id="3">
    <w:p w:rsidR="00096E84" w:rsidRPr="00594430" w:rsidRDefault="00096E84" w:rsidP="00594430">
      <w:pPr>
        <w:spacing w:after="0" w:line="240" w:lineRule="auto"/>
        <w:rPr>
          <w:bCs/>
          <w:iCs/>
          <w:sz w:val="20"/>
          <w:szCs w:val="20"/>
        </w:rPr>
      </w:pPr>
      <w:r w:rsidRPr="00594430">
        <w:rPr>
          <w:rStyle w:val="FootnoteReference"/>
          <w:sz w:val="20"/>
          <w:szCs w:val="20"/>
        </w:rPr>
        <w:footnoteRef/>
      </w:r>
      <w:r w:rsidRPr="00594430">
        <w:rPr>
          <w:sz w:val="20"/>
          <w:szCs w:val="20"/>
        </w:rPr>
        <w:t xml:space="preserve"> </w:t>
      </w:r>
      <w:r w:rsidRPr="00594430">
        <w:rPr>
          <w:bCs/>
          <w:iCs/>
          <w:sz w:val="20"/>
          <w:szCs w:val="20"/>
        </w:rPr>
        <w:t>Local Government Reform Commission (Queensland) (2007), report, volume 1, at:</w:t>
      </w:r>
      <w:r w:rsidRPr="00594430">
        <w:rPr>
          <w:sz w:val="20"/>
          <w:szCs w:val="20"/>
        </w:rPr>
        <w:t xml:space="preserve"> </w:t>
      </w:r>
      <w:hyperlink r:id="rId2" w:history="1">
        <w:r w:rsidRPr="00594430">
          <w:rPr>
            <w:rStyle w:val="Hyperlink"/>
            <w:bCs/>
            <w:iCs/>
            <w:sz w:val="20"/>
            <w:szCs w:val="20"/>
          </w:rPr>
          <w:t>http://www.dip.qld.gov.au/resources/report/commission-recommendation/vol-01/volume-1-report.pdf</w:t>
        </w:r>
      </w:hyperlink>
      <w:r w:rsidRPr="00594430">
        <w:rPr>
          <w:bCs/>
          <w:iCs/>
          <w:sz w:val="20"/>
          <w:szCs w:val="20"/>
        </w:rPr>
        <w:t xml:space="preserve"> </w:t>
      </w:r>
    </w:p>
  </w:footnote>
  <w:footnote w:id="4">
    <w:p w:rsidR="00AF36AC" w:rsidRPr="00AF36AC" w:rsidRDefault="00AF36AC">
      <w:pPr>
        <w:pStyle w:val="FootnoteText"/>
        <w:rPr>
          <w:lang w:val="en-AU"/>
        </w:rPr>
      </w:pPr>
      <w:r>
        <w:rPr>
          <w:rStyle w:val="FootnoteReference"/>
        </w:rPr>
        <w:footnoteRef/>
      </w:r>
      <w:r>
        <w:t xml:space="preserve"> </w:t>
      </w:r>
      <w:r>
        <w:rPr>
          <w:lang w:val="en-AU"/>
        </w:rPr>
        <w:t xml:space="preserve">James H </w:t>
      </w:r>
      <w:proofErr w:type="spellStart"/>
      <w:r>
        <w:rPr>
          <w:lang w:val="en-AU"/>
        </w:rPr>
        <w:t>Svara</w:t>
      </w:r>
      <w:proofErr w:type="spellEnd"/>
      <w:r>
        <w:rPr>
          <w:lang w:val="en-AU"/>
        </w:rPr>
        <w:t xml:space="preserve">. </w:t>
      </w:r>
      <w:r w:rsidR="00516F9A">
        <w:rPr>
          <w:lang w:val="en-AU"/>
        </w:rPr>
        <w:t>‘</w:t>
      </w:r>
      <w:r>
        <w:rPr>
          <w:lang w:val="en-AU"/>
        </w:rPr>
        <w:t>The Search for Meaning in Political-Administrative Relations in Local Government</w:t>
      </w:r>
      <w:r w:rsidR="00516F9A">
        <w:rPr>
          <w:lang w:val="en-AU"/>
        </w:rPr>
        <w:t>’</w:t>
      </w:r>
      <w:r>
        <w:rPr>
          <w:lang w:val="en-AU"/>
        </w:rPr>
        <w:t xml:space="preserve">, </w:t>
      </w:r>
      <w:r w:rsidRPr="00516F9A">
        <w:rPr>
          <w:i/>
          <w:lang w:val="en-AU"/>
        </w:rPr>
        <w:t>International Journal of Public Administration</w:t>
      </w:r>
      <w:r>
        <w:rPr>
          <w:lang w:val="en-AU"/>
        </w:rPr>
        <w:t xml:space="preserve">, </w:t>
      </w:r>
      <w:proofErr w:type="spellStart"/>
      <w:r>
        <w:rPr>
          <w:lang w:val="en-AU"/>
        </w:rPr>
        <w:t>vol</w:t>
      </w:r>
      <w:proofErr w:type="spellEnd"/>
      <w:r>
        <w:rPr>
          <w:lang w:val="en-AU"/>
        </w:rPr>
        <w:t xml:space="preserve"> 29: 1065-1090,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F76"/>
    <w:multiLevelType w:val="hybridMultilevel"/>
    <w:tmpl w:val="4FE8E624"/>
    <w:lvl w:ilvl="0" w:tplc="05A60AA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141598"/>
    <w:multiLevelType w:val="hybridMultilevel"/>
    <w:tmpl w:val="30267B92"/>
    <w:lvl w:ilvl="0" w:tplc="2AC0807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296E59"/>
    <w:multiLevelType w:val="hybridMultilevel"/>
    <w:tmpl w:val="D040ABB4"/>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C36E8B"/>
    <w:multiLevelType w:val="hybridMultilevel"/>
    <w:tmpl w:val="3B84B446"/>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192469"/>
    <w:multiLevelType w:val="hybridMultilevel"/>
    <w:tmpl w:val="7B68A1DA"/>
    <w:lvl w:ilvl="0" w:tplc="0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D7891"/>
    <w:multiLevelType w:val="hybridMultilevel"/>
    <w:tmpl w:val="274C0600"/>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330382"/>
    <w:multiLevelType w:val="hybridMultilevel"/>
    <w:tmpl w:val="6FA6AC10"/>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D074F3E"/>
    <w:multiLevelType w:val="hybridMultilevel"/>
    <w:tmpl w:val="6870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044C36"/>
    <w:multiLevelType w:val="hybridMultilevel"/>
    <w:tmpl w:val="0F36F9D0"/>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57771D8"/>
    <w:multiLevelType w:val="hybridMultilevel"/>
    <w:tmpl w:val="8E2A5596"/>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52A12B8"/>
    <w:multiLevelType w:val="hybridMultilevel"/>
    <w:tmpl w:val="97E47D2A"/>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6AA296A"/>
    <w:multiLevelType w:val="hybridMultilevel"/>
    <w:tmpl w:val="0FA2295C"/>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B72118B"/>
    <w:multiLevelType w:val="hybridMultilevel"/>
    <w:tmpl w:val="7F568AD2"/>
    <w:lvl w:ilvl="0" w:tplc="05CA994E">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10"/>
  </w:num>
  <w:num w:numId="5">
    <w:abstractNumId w:val="11"/>
  </w:num>
  <w:num w:numId="6">
    <w:abstractNumId w:val="6"/>
  </w:num>
  <w:num w:numId="7">
    <w:abstractNumId w:val="8"/>
  </w:num>
  <w:num w:numId="8">
    <w:abstractNumId w:val="7"/>
  </w:num>
  <w:num w:numId="9">
    <w:abstractNumId w:val="5"/>
  </w:num>
  <w:num w:numId="10">
    <w:abstractNumId w:val="9"/>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B3788"/>
    <w:rsid w:val="00007728"/>
    <w:rsid w:val="0003467A"/>
    <w:rsid w:val="00086090"/>
    <w:rsid w:val="00096E84"/>
    <w:rsid w:val="000B3788"/>
    <w:rsid w:val="00101ACC"/>
    <w:rsid w:val="00134FE1"/>
    <w:rsid w:val="00146024"/>
    <w:rsid w:val="001771D6"/>
    <w:rsid w:val="001A5666"/>
    <w:rsid w:val="001F74C1"/>
    <w:rsid w:val="00205D4F"/>
    <w:rsid w:val="002436EA"/>
    <w:rsid w:val="00244BB0"/>
    <w:rsid w:val="002507AD"/>
    <w:rsid w:val="002B7B47"/>
    <w:rsid w:val="00302B84"/>
    <w:rsid w:val="00364341"/>
    <w:rsid w:val="00392E4A"/>
    <w:rsid w:val="003A7664"/>
    <w:rsid w:val="003B3CE7"/>
    <w:rsid w:val="003B7FDA"/>
    <w:rsid w:val="003C6364"/>
    <w:rsid w:val="003E414B"/>
    <w:rsid w:val="003F400E"/>
    <w:rsid w:val="004527FC"/>
    <w:rsid w:val="004558C9"/>
    <w:rsid w:val="00476616"/>
    <w:rsid w:val="004A2862"/>
    <w:rsid w:val="004B2897"/>
    <w:rsid w:val="004E243B"/>
    <w:rsid w:val="004F44FA"/>
    <w:rsid w:val="00516F9A"/>
    <w:rsid w:val="00525A09"/>
    <w:rsid w:val="00525E0D"/>
    <w:rsid w:val="00534AF2"/>
    <w:rsid w:val="00553462"/>
    <w:rsid w:val="00556F92"/>
    <w:rsid w:val="00594430"/>
    <w:rsid w:val="005A44D5"/>
    <w:rsid w:val="005D4B82"/>
    <w:rsid w:val="005F4D42"/>
    <w:rsid w:val="006034E2"/>
    <w:rsid w:val="00641FD4"/>
    <w:rsid w:val="00644853"/>
    <w:rsid w:val="00650986"/>
    <w:rsid w:val="006B467D"/>
    <w:rsid w:val="00713044"/>
    <w:rsid w:val="007549E8"/>
    <w:rsid w:val="007F6C48"/>
    <w:rsid w:val="00825558"/>
    <w:rsid w:val="00840589"/>
    <w:rsid w:val="00897001"/>
    <w:rsid w:val="0089790F"/>
    <w:rsid w:val="008A552A"/>
    <w:rsid w:val="008B3A2A"/>
    <w:rsid w:val="008D1FF7"/>
    <w:rsid w:val="008D3833"/>
    <w:rsid w:val="00941EC8"/>
    <w:rsid w:val="00986886"/>
    <w:rsid w:val="009A378B"/>
    <w:rsid w:val="009F5982"/>
    <w:rsid w:val="009F6957"/>
    <w:rsid w:val="00A642F7"/>
    <w:rsid w:val="00AB3B3D"/>
    <w:rsid w:val="00AB6B02"/>
    <w:rsid w:val="00AE6686"/>
    <w:rsid w:val="00AF36AC"/>
    <w:rsid w:val="00B95E17"/>
    <w:rsid w:val="00BE1914"/>
    <w:rsid w:val="00C40E87"/>
    <w:rsid w:val="00C87CC5"/>
    <w:rsid w:val="00CE672B"/>
    <w:rsid w:val="00CE7C1A"/>
    <w:rsid w:val="00CF3C36"/>
    <w:rsid w:val="00D110C2"/>
    <w:rsid w:val="00D11CF7"/>
    <w:rsid w:val="00D3436B"/>
    <w:rsid w:val="00D550FB"/>
    <w:rsid w:val="00D845EB"/>
    <w:rsid w:val="00DB7EFF"/>
    <w:rsid w:val="00DE2F19"/>
    <w:rsid w:val="00DE64C3"/>
    <w:rsid w:val="00E22005"/>
    <w:rsid w:val="00E25CD4"/>
    <w:rsid w:val="00E35E0A"/>
    <w:rsid w:val="00E5253B"/>
    <w:rsid w:val="00EB2AEF"/>
    <w:rsid w:val="00EB6A38"/>
    <w:rsid w:val="00ED1469"/>
    <w:rsid w:val="00F9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4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788"/>
    <w:pPr>
      <w:ind w:left="720"/>
      <w:contextualSpacing/>
    </w:pPr>
  </w:style>
  <w:style w:type="paragraph" w:styleId="FootnoteText">
    <w:name w:val="footnote text"/>
    <w:basedOn w:val="Normal"/>
    <w:link w:val="FootnoteTextChar"/>
    <w:uiPriority w:val="99"/>
    <w:semiHidden/>
    <w:unhideWhenUsed/>
    <w:rsid w:val="00392E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E4A"/>
    <w:rPr>
      <w:sz w:val="20"/>
      <w:szCs w:val="20"/>
    </w:rPr>
  </w:style>
  <w:style w:type="character" w:styleId="FootnoteReference">
    <w:name w:val="footnote reference"/>
    <w:basedOn w:val="DefaultParagraphFont"/>
    <w:uiPriority w:val="99"/>
    <w:unhideWhenUsed/>
    <w:rsid w:val="00392E4A"/>
    <w:rPr>
      <w:vertAlign w:val="superscript"/>
    </w:rPr>
  </w:style>
  <w:style w:type="paragraph" w:styleId="Header">
    <w:name w:val="header"/>
    <w:basedOn w:val="Normal"/>
    <w:link w:val="HeaderChar"/>
    <w:uiPriority w:val="99"/>
    <w:semiHidden/>
    <w:unhideWhenUsed/>
    <w:rsid w:val="00101A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1ACC"/>
  </w:style>
  <w:style w:type="paragraph" w:styleId="Footer">
    <w:name w:val="footer"/>
    <w:basedOn w:val="Normal"/>
    <w:link w:val="FooterChar"/>
    <w:uiPriority w:val="99"/>
    <w:unhideWhenUsed/>
    <w:rsid w:val="00101A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ACC"/>
  </w:style>
  <w:style w:type="character" w:styleId="Hyperlink">
    <w:name w:val="Hyperlink"/>
    <w:uiPriority w:val="99"/>
    <w:rsid w:val="00ED1469"/>
    <w:rPr>
      <w:color w:val="001BFF"/>
      <w:sz w:val="22"/>
      <w:u w:val="single"/>
    </w:rPr>
  </w:style>
  <w:style w:type="paragraph" w:customStyle="1" w:styleId="ColorfulList-Accent11">
    <w:name w:val="Colorful List - Accent 11"/>
    <w:basedOn w:val="Normal"/>
    <w:uiPriority w:val="99"/>
    <w:qFormat/>
    <w:rsid w:val="00ED1469"/>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59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dip.qld.gov.au/resources/report/commission-recommendation/vol-01/volume-1-report.pdf" TargetMode="External"/><Relationship Id="rId1" Type="http://schemas.openxmlformats.org/officeDocument/2006/relationships/hyperlink" Target="http://www.acelg.org.au/library.php?id=mostRec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40336-F66C-4814-A422-CC9D0791A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3180</Words>
  <Characters>18129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UTS</Company>
  <LinksUpToDate>false</LinksUpToDate>
  <CharactersWithSpaces>21267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980995</dc:creator>
  <cp:keywords/>
  <dc:description/>
  <cp:lastModifiedBy>Graham Sansom</cp:lastModifiedBy>
  <cp:revision>5</cp:revision>
  <dcterms:created xsi:type="dcterms:W3CDTF">2012-07-15T06:28:00Z</dcterms:created>
  <dcterms:modified xsi:type="dcterms:W3CDTF">2014-12-01T06:17:00Z</dcterms:modified>
</cp:coreProperties>
</file>