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51D" w:rsidRPr="00220B88" w:rsidRDefault="00C12BB5" w:rsidP="00220B88">
      <w:pPr>
        <w:pStyle w:val="NZIERTitle"/>
      </w:pPr>
      <w:r>
        <w:t>Sport and events facilities</w:t>
      </w:r>
    </w:p>
    <w:p w:rsidR="006127BB" w:rsidRPr="00220B88" w:rsidRDefault="00C12BB5" w:rsidP="00220B88">
      <w:pPr>
        <w:pStyle w:val="NZIERSubtitle"/>
      </w:pPr>
      <w:r>
        <w:t xml:space="preserve">Assessment of alternative arrangements for </w:t>
      </w:r>
      <w:r w:rsidRPr="00C12BB5">
        <w:t xml:space="preserve">recreation sporting, event and cultural </w:t>
      </w:r>
      <w:r w:rsidR="00FC77AC" w:rsidRPr="00C12BB5">
        <w:t>facilities</w:t>
      </w:r>
      <w:r>
        <w:t xml:space="preserve"> through re-organisation of councils in the Wellington region</w:t>
      </w:r>
    </w:p>
    <w:p w:rsidR="0045508B" w:rsidRPr="00643138" w:rsidRDefault="00F743E7" w:rsidP="00AE01EA">
      <w:pPr>
        <w:pStyle w:val="zReportdate"/>
      </w:pPr>
      <w:r w:rsidRPr="00643138">
        <w:t xml:space="preserve">NZIER report to </w:t>
      </w:r>
      <w:r w:rsidR="00C12BB5">
        <w:t>Henley Hutchings</w:t>
      </w:r>
    </w:p>
    <w:p w:rsidR="00CB69C8" w:rsidRPr="00643138" w:rsidRDefault="009C4797" w:rsidP="00AE01EA">
      <w:pPr>
        <w:pStyle w:val="zReportdate"/>
      </w:pPr>
      <w:r>
        <w:t>1 September</w:t>
      </w:r>
      <w:r w:rsidR="00C12BB5">
        <w:t xml:space="preserve"> 2014</w:t>
      </w:r>
    </w:p>
    <w:p w:rsidR="006D2FCA" w:rsidRDefault="006D2FCA" w:rsidP="00AE01EA"/>
    <w:p w:rsidR="00BB6ED0" w:rsidRDefault="00BB6ED0" w:rsidP="00AE01EA">
      <w:pPr>
        <w:sectPr w:rsidR="00BB6ED0" w:rsidSect="00C17D87">
          <w:headerReference w:type="even" r:id="rId9"/>
          <w:headerReference w:type="default" r:id="rId10"/>
          <w:footerReference w:type="even" r:id="rId11"/>
          <w:footerReference w:type="default" r:id="rId12"/>
          <w:headerReference w:type="first" r:id="rId13"/>
          <w:pgSz w:w="11907" w:h="16840" w:code="9"/>
          <w:pgMar w:top="10206" w:right="1701" w:bottom="1134" w:left="2552" w:header="1134" w:footer="567" w:gutter="0"/>
          <w:cols w:space="720"/>
          <w:titlePg/>
        </w:sectPr>
      </w:pPr>
    </w:p>
    <w:p w:rsidR="00CB69C8" w:rsidRPr="00220B88" w:rsidRDefault="00CB69C8" w:rsidP="00AE01EA">
      <w:pPr>
        <w:pStyle w:val="NonTOCHeading1"/>
      </w:pPr>
      <w:r w:rsidRPr="00220B88">
        <w:lastRenderedPageBreak/>
        <w:t>About NZIER</w:t>
      </w:r>
    </w:p>
    <w:p w:rsidR="00A3232C" w:rsidRPr="00643138" w:rsidRDefault="00A3232C" w:rsidP="00AE01EA">
      <w:pPr>
        <w:pStyle w:val="BodyText"/>
      </w:pPr>
      <w:r w:rsidRPr="00643138">
        <w:t xml:space="preserve">NZIER is a specialist consulting firm that uses applied economic research and analysis to provide a wide range of strategic advice to clients in the public and private sectors, throughout New Zealand and Australia, and further afield. </w:t>
      </w:r>
    </w:p>
    <w:p w:rsidR="00A3232C" w:rsidRPr="00A3232C" w:rsidRDefault="00A3232C" w:rsidP="00AE01EA">
      <w:pPr>
        <w:pStyle w:val="BodyText"/>
      </w:pPr>
      <w:r w:rsidRPr="00A3232C">
        <w:t xml:space="preserve">NZIER is also known for its long-established Quarterly Survey of Business Opinion and Quarterly Predictions. </w:t>
      </w:r>
    </w:p>
    <w:p w:rsidR="00A3232C" w:rsidRPr="00A3232C" w:rsidRDefault="00A3232C" w:rsidP="001E584D">
      <w:pPr>
        <w:pStyle w:val="BodyText"/>
      </w:pPr>
      <w:r w:rsidRPr="00A3232C">
        <w:t>Our aim is to be the premier centre of applied economic research in New Zealand. We pride ourselves on our reputation for independence and delivering quality analysis in the right form, and at the right time, for our clients. We ensure quality through teamwork on individual projects, critical review at internal seminars, and by peer review at various stages through a project by a senior staff member otherwise not involved in the project.</w:t>
      </w:r>
    </w:p>
    <w:p w:rsidR="00A3232C" w:rsidRPr="00A3232C" w:rsidRDefault="00A3232C" w:rsidP="00AE01EA">
      <w:pPr>
        <w:pStyle w:val="BodyText"/>
      </w:pPr>
      <w:r w:rsidRPr="00A3232C">
        <w:t xml:space="preserve">Each year NZIER devotes resources to undertake and make freely available economic research and thinking aimed at promoting a better understanding of New Zealand’s important economic challenges. </w:t>
      </w:r>
    </w:p>
    <w:p w:rsidR="00A3232C" w:rsidRPr="00A3232C" w:rsidRDefault="00A3232C" w:rsidP="00AE01EA">
      <w:pPr>
        <w:pStyle w:val="BodyText"/>
      </w:pPr>
      <w:r w:rsidRPr="00A3232C">
        <w:t>NZIER was established in 1958.</w:t>
      </w:r>
    </w:p>
    <w:p w:rsidR="00CB69C8" w:rsidRPr="00643138" w:rsidRDefault="00CB69C8" w:rsidP="00AE01EA">
      <w:pPr>
        <w:pStyle w:val="NonTOCHeading2"/>
      </w:pPr>
      <w:r w:rsidRPr="00643138">
        <w:t>Authorship</w:t>
      </w:r>
    </w:p>
    <w:p w:rsidR="00695C22" w:rsidRPr="00643138" w:rsidRDefault="00695C22" w:rsidP="00AE01EA">
      <w:pPr>
        <w:pStyle w:val="BodyText"/>
      </w:pPr>
      <w:r w:rsidRPr="00643138">
        <w:t xml:space="preserve">This paper was prepared at NZIER by </w:t>
      </w:r>
      <w:r w:rsidR="00752FA3">
        <w:t>Mike Hensen</w:t>
      </w:r>
    </w:p>
    <w:p w:rsidR="00695C22" w:rsidRPr="00643138" w:rsidRDefault="00695C22" w:rsidP="00AE01EA">
      <w:pPr>
        <w:pStyle w:val="BodyText"/>
      </w:pPr>
      <w:r w:rsidRPr="00643138">
        <w:t xml:space="preserve">It was quality approved by </w:t>
      </w:r>
      <w:r w:rsidR="00FC77AC">
        <w:t>Peter Clough</w:t>
      </w:r>
    </w:p>
    <w:p w:rsidR="00CB69C8" w:rsidRDefault="00CB69C8" w:rsidP="00AE01EA">
      <w:pPr>
        <w:pStyle w:val="BodyText"/>
      </w:pPr>
    </w:p>
    <w:p w:rsidR="00CB69C8" w:rsidRDefault="00CB69C8" w:rsidP="00AE01EA">
      <w:pPr>
        <w:pStyle w:val="BodyText"/>
        <w:sectPr w:rsidR="00CB69C8" w:rsidSect="00C17D87">
          <w:headerReference w:type="even" r:id="rId14"/>
          <w:footerReference w:type="even" r:id="rId15"/>
          <w:headerReference w:type="first" r:id="rId16"/>
          <w:footerReference w:type="first" r:id="rId17"/>
          <w:type w:val="oddPage"/>
          <w:pgSz w:w="11907" w:h="16840" w:code="9"/>
          <w:pgMar w:top="3402" w:right="1701" w:bottom="1134" w:left="2552" w:header="1134" w:footer="567" w:gutter="0"/>
          <w:cols w:space="720"/>
          <w:titlePg/>
        </w:sectPr>
      </w:pPr>
    </w:p>
    <w:p w:rsidR="00CB69C8" w:rsidRPr="00AE01EA" w:rsidRDefault="00CB69C8" w:rsidP="00F9369D">
      <w:pPr>
        <w:pStyle w:val="NonTOCHeading24pt"/>
      </w:pPr>
      <w:bookmarkStart w:id="0" w:name="_Toc311544471"/>
      <w:bookmarkStart w:id="1" w:name="_Toc311618843"/>
      <w:bookmarkStart w:id="2" w:name="_Toc312079488"/>
      <w:r w:rsidRPr="00AE01EA">
        <w:lastRenderedPageBreak/>
        <w:t xml:space="preserve">Key </w:t>
      </w:r>
      <w:r w:rsidR="00C3061D" w:rsidRPr="00AE01EA">
        <w:t>p</w:t>
      </w:r>
      <w:r w:rsidRPr="00AE01EA">
        <w:t>oints</w:t>
      </w:r>
      <w:bookmarkEnd w:id="0"/>
      <w:bookmarkEnd w:id="1"/>
      <w:bookmarkEnd w:id="2"/>
    </w:p>
    <w:p w:rsidR="003962BD" w:rsidRDefault="003962BD" w:rsidP="00F738F9">
      <w:pPr>
        <w:pStyle w:val="BodyText"/>
      </w:pPr>
      <w:bookmarkStart w:id="3" w:name="_Toc311544472"/>
      <w:r>
        <w:t xml:space="preserve">Sport, cultural and other major event amenities each contribute to council provision of community services but also pose quite different operational and capital spending challenges for either territorial authorities or a regional group of councils. </w:t>
      </w:r>
      <w:r w:rsidR="008D7E20">
        <w:t>The mechanisms used for the delivery of these services vary across the region due in part to differences in community preferences/demography and past council decisions.</w:t>
      </w:r>
    </w:p>
    <w:p w:rsidR="00F738F9" w:rsidRDefault="00F738F9" w:rsidP="00F738F9">
      <w:pPr>
        <w:pStyle w:val="BodyText"/>
      </w:pPr>
      <w:r>
        <w:t>Anecdotal evidence suggests that there is duplication of both operational and capital spending on sport and cultural amenities by councils in the Wellington region. Analysis of the long term plans shows differences in the balance between user pays and community pays for a given activity across councils but does not provide any strong evidence of economies of scale within the region.</w:t>
      </w:r>
    </w:p>
    <w:p w:rsidR="00F738F9" w:rsidRDefault="00F738F9" w:rsidP="00F738F9">
      <w:pPr>
        <w:pStyle w:val="BodyText"/>
      </w:pPr>
      <w:r>
        <w:t xml:space="preserve">Therefore the arguments for improvement of the efficiency of the delivery of sport and cultural services are qualitative rather than quantitative. Also </w:t>
      </w:r>
      <w:r w:rsidR="00826B8E">
        <w:t xml:space="preserve">as </w:t>
      </w:r>
      <w:r>
        <w:t>it is likely to be politically difficult for a merged council to de-commission a function</w:t>
      </w:r>
      <w:r w:rsidR="00826B8E">
        <w:t>ing</w:t>
      </w:r>
      <w:r>
        <w:t xml:space="preserve"> sports or cultural amenity</w:t>
      </w:r>
      <w:r w:rsidR="00826B8E">
        <w:t>,</w:t>
      </w:r>
      <w:r>
        <w:t xml:space="preserve"> any investment efficiencies may need to be achieved gradually as facilities fall due for upgrade or renewal.</w:t>
      </w:r>
    </w:p>
    <w:p w:rsidR="006E2781" w:rsidRDefault="006E2781" w:rsidP="00F738F9">
      <w:pPr>
        <w:pStyle w:val="BodyText"/>
      </w:pPr>
      <w:r>
        <w:t xml:space="preserve">These factors may make it difficult for the current configuration of councils to deliver a </w:t>
      </w:r>
      <w:r w:rsidR="001A13CF">
        <w:t>‘</w:t>
      </w:r>
      <w:r>
        <w:t>pyramid of supply</w:t>
      </w:r>
      <w:r w:rsidR="001A13CF">
        <w:t>’</w:t>
      </w:r>
      <w:r>
        <w:t xml:space="preserve"> of different sized facilities that efficiently meets regional and local demand for activities ranging from large events to weekend amateur sport.</w:t>
      </w:r>
    </w:p>
    <w:p w:rsidR="006E2781" w:rsidRDefault="00D3708E" w:rsidP="00F738F9">
      <w:pPr>
        <w:pStyle w:val="BodyText"/>
      </w:pPr>
      <w:r w:rsidRPr="003962BD">
        <w:t>Mergers of councils may be necessary to encourage decision-makers to take a broader geographical view of the portfolio of assets they are m</w:t>
      </w:r>
      <w:r w:rsidRPr="003962BD">
        <w:t>anaging to realise the potential efficiencies. There</w:t>
      </w:r>
      <w:r w:rsidR="003962BD">
        <w:t xml:space="preserve"> are multiple </w:t>
      </w:r>
      <w:r w:rsidR="006E2781">
        <w:t>options for these mergers including:</w:t>
      </w:r>
    </w:p>
    <w:p w:rsidR="00D3708E" w:rsidRDefault="00F21530" w:rsidP="00F21530">
      <w:pPr>
        <w:pStyle w:val="Bullet"/>
      </w:pPr>
      <w:r>
        <w:t>five different amalgamation options for the existing territorial authorities that combine adjacent territorial authorities</w:t>
      </w:r>
    </w:p>
    <w:p w:rsidR="00F21530" w:rsidRDefault="00F21530" w:rsidP="00F21530">
      <w:pPr>
        <w:pStyle w:val="Bullet"/>
      </w:pPr>
      <w:r>
        <w:t>stronger regional delivery through transfer of obligations to the Greater Wellington Regional Council (GWRC)</w:t>
      </w:r>
    </w:p>
    <w:p w:rsidR="00F21530" w:rsidRDefault="00F21530" w:rsidP="00F21530">
      <w:pPr>
        <w:pStyle w:val="Bullet"/>
      </w:pPr>
      <w:r>
        <w:t>two options for one Wellington Council:</w:t>
      </w:r>
    </w:p>
    <w:p w:rsidR="00F21530" w:rsidRDefault="00F21530" w:rsidP="00F21530">
      <w:pPr>
        <w:pStyle w:val="Bullet2ndlevel"/>
      </w:pPr>
      <w:r>
        <w:t>without local boards</w:t>
      </w:r>
    </w:p>
    <w:p w:rsidR="00F21530" w:rsidRDefault="00F21530" w:rsidP="00F21530">
      <w:pPr>
        <w:pStyle w:val="Bullet2ndlevel"/>
      </w:pPr>
      <w:r>
        <w:t>with local boards.</w:t>
      </w:r>
    </w:p>
    <w:p w:rsidR="001A13CF" w:rsidRDefault="001A13CF" w:rsidP="001A13CF">
      <w:pPr>
        <w:pStyle w:val="BodyText"/>
      </w:pPr>
      <w:r>
        <w:t>In considering these options, there is a trade-off between defining the merger area widely enough so that there are worthwhile efficiencies available but narrowly enough so that number and timing of rationalisation decisions that need to be made is tractable and expectations for local democracy can be met.</w:t>
      </w:r>
    </w:p>
    <w:p w:rsidR="00F738F9" w:rsidRDefault="00F738F9" w:rsidP="00F738F9">
      <w:pPr>
        <w:pStyle w:val="BodyText"/>
      </w:pPr>
      <w:r>
        <w:t xml:space="preserve">The apparent difference between </w:t>
      </w:r>
      <w:r w:rsidR="00D3708E">
        <w:t>Wellington City Council (</w:t>
      </w:r>
      <w:r>
        <w:t>WCC</w:t>
      </w:r>
      <w:r w:rsidR="00D3708E">
        <w:t>)</w:t>
      </w:r>
      <w:r>
        <w:t xml:space="preserve"> spending and investment on sport and cultural facilities may temporarily delay the realisation of benefits from a merger of all the councils in the region. (A possible reason for this difference is that the WCC spending and investment includes what are effectively regional amenities.) The root cause of the difference will need to be analysed and areas of overlap between WCC and other council spending identified. </w:t>
      </w:r>
    </w:p>
    <w:p w:rsidR="00325C43" w:rsidRDefault="00325C43" w:rsidP="005B08BF">
      <w:pPr>
        <w:pStyle w:val="NonTOCHeading24pt"/>
      </w:pPr>
      <w:r>
        <w:t>Contents</w:t>
      </w:r>
      <w:bookmarkEnd w:id="3"/>
    </w:p>
    <w:p w:rsidR="00124382" w:rsidRDefault="00173B8B">
      <w:pPr>
        <w:pStyle w:val="TOC1"/>
        <w:rPr>
          <w:rFonts w:eastAsiaTheme="minorEastAsia"/>
          <w:noProof/>
          <w:lang w:eastAsia="en-NZ"/>
        </w:rPr>
      </w:pPr>
      <w:r>
        <w:fldChar w:fldCharType="begin"/>
      </w:r>
      <w:r w:rsidR="004B2C5D">
        <w:instrText xml:space="preserve"> TOC \o "2-2" \t "Heading 1,1,Unnumbered Heading 1,1,Unnumbered Heading 2,2" </w:instrText>
      </w:r>
      <w:r>
        <w:fldChar w:fldCharType="separate"/>
      </w:r>
      <w:r w:rsidR="00124382">
        <w:rPr>
          <w:noProof/>
        </w:rPr>
        <w:t>1.</w:t>
      </w:r>
      <w:r w:rsidR="00124382">
        <w:rPr>
          <w:rFonts w:eastAsiaTheme="minorEastAsia"/>
          <w:noProof/>
          <w:lang w:eastAsia="en-NZ"/>
        </w:rPr>
        <w:tab/>
      </w:r>
      <w:r w:rsidR="00124382">
        <w:rPr>
          <w:noProof/>
        </w:rPr>
        <w:t>Introduction</w:t>
      </w:r>
      <w:r w:rsidR="00124382">
        <w:rPr>
          <w:noProof/>
        </w:rPr>
        <w:tab/>
      </w:r>
      <w:r w:rsidR="00124382">
        <w:rPr>
          <w:noProof/>
        </w:rPr>
        <w:fldChar w:fldCharType="begin"/>
      </w:r>
      <w:r w:rsidR="00124382">
        <w:rPr>
          <w:noProof/>
        </w:rPr>
        <w:instrText xml:space="preserve"> PAGEREF _Toc397341747 \h </w:instrText>
      </w:r>
      <w:r w:rsidR="00124382">
        <w:rPr>
          <w:noProof/>
        </w:rPr>
      </w:r>
      <w:r w:rsidR="00124382">
        <w:rPr>
          <w:noProof/>
        </w:rPr>
        <w:fldChar w:fldCharType="separate"/>
      </w:r>
      <w:r w:rsidR="00124382">
        <w:rPr>
          <w:noProof/>
        </w:rPr>
        <w:t>1</w:t>
      </w:r>
      <w:r w:rsidR="00124382">
        <w:rPr>
          <w:noProof/>
        </w:rPr>
        <w:fldChar w:fldCharType="end"/>
      </w:r>
    </w:p>
    <w:p w:rsidR="00124382" w:rsidRDefault="00124382">
      <w:pPr>
        <w:pStyle w:val="TOC2"/>
      </w:pPr>
      <w:r w:rsidRPr="00B4768B">
        <w:rPr>
          <w:lang w:val="en-US"/>
        </w:rPr>
        <w:t>1.1.</w:t>
      </w:r>
      <w:r>
        <w:tab/>
      </w:r>
      <w:r w:rsidRPr="00B4768B">
        <w:rPr>
          <w:lang w:val="en-US"/>
        </w:rPr>
        <w:t>Scope</w:t>
      </w:r>
      <w:r>
        <w:tab/>
      </w:r>
      <w:r>
        <w:fldChar w:fldCharType="begin"/>
      </w:r>
      <w:r>
        <w:instrText xml:space="preserve"> PAGEREF _Toc397341748 \h </w:instrText>
      </w:r>
      <w:r>
        <w:fldChar w:fldCharType="separate"/>
      </w:r>
      <w:r>
        <w:t>1</w:t>
      </w:r>
      <w:r>
        <w:fldChar w:fldCharType="end"/>
      </w:r>
    </w:p>
    <w:p w:rsidR="00124382" w:rsidRDefault="00124382">
      <w:pPr>
        <w:pStyle w:val="TOC2"/>
      </w:pPr>
      <w:r>
        <w:t>1.2.</w:t>
      </w:r>
      <w:r>
        <w:tab/>
        <w:t>Reasonable practical options</w:t>
      </w:r>
      <w:r>
        <w:tab/>
      </w:r>
      <w:r>
        <w:fldChar w:fldCharType="begin"/>
      </w:r>
      <w:r>
        <w:instrText xml:space="preserve"> PAGEREF _Toc397341749 \h </w:instrText>
      </w:r>
      <w:r>
        <w:fldChar w:fldCharType="separate"/>
      </w:r>
      <w:r>
        <w:t>1</w:t>
      </w:r>
      <w:r>
        <w:fldChar w:fldCharType="end"/>
      </w:r>
    </w:p>
    <w:p w:rsidR="00124382" w:rsidRDefault="00124382">
      <w:pPr>
        <w:pStyle w:val="TOC2"/>
      </w:pPr>
      <w:r>
        <w:t>1.3.</w:t>
      </w:r>
      <w:r>
        <w:tab/>
        <w:t>Criteria</w:t>
      </w:r>
      <w:r>
        <w:tab/>
      </w:r>
      <w:r>
        <w:fldChar w:fldCharType="begin"/>
      </w:r>
      <w:r>
        <w:instrText xml:space="preserve"> PAGEREF _Toc397341750 \h </w:instrText>
      </w:r>
      <w:r>
        <w:fldChar w:fldCharType="separate"/>
      </w:r>
      <w:r>
        <w:t>2</w:t>
      </w:r>
      <w:r>
        <w:fldChar w:fldCharType="end"/>
      </w:r>
    </w:p>
    <w:p w:rsidR="00124382" w:rsidRDefault="00124382">
      <w:pPr>
        <w:pStyle w:val="TOC1"/>
        <w:rPr>
          <w:rFonts w:eastAsiaTheme="minorEastAsia"/>
          <w:noProof/>
          <w:lang w:eastAsia="en-NZ"/>
        </w:rPr>
      </w:pPr>
      <w:r>
        <w:rPr>
          <w:noProof/>
        </w:rPr>
        <w:t>2.</w:t>
      </w:r>
      <w:r>
        <w:rPr>
          <w:rFonts w:eastAsiaTheme="minorEastAsia"/>
          <w:noProof/>
          <w:lang w:eastAsia="en-NZ"/>
        </w:rPr>
        <w:tab/>
      </w:r>
      <w:r>
        <w:rPr>
          <w:noProof/>
        </w:rPr>
        <w:t>Current situation</w:t>
      </w:r>
      <w:r>
        <w:rPr>
          <w:noProof/>
        </w:rPr>
        <w:tab/>
      </w:r>
      <w:r>
        <w:rPr>
          <w:noProof/>
        </w:rPr>
        <w:fldChar w:fldCharType="begin"/>
      </w:r>
      <w:r>
        <w:rPr>
          <w:noProof/>
        </w:rPr>
        <w:instrText xml:space="preserve"> PAGEREF _Toc397341751 \h </w:instrText>
      </w:r>
      <w:r>
        <w:rPr>
          <w:noProof/>
        </w:rPr>
      </w:r>
      <w:r>
        <w:rPr>
          <w:noProof/>
        </w:rPr>
        <w:fldChar w:fldCharType="separate"/>
      </w:r>
      <w:r>
        <w:rPr>
          <w:noProof/>
        </w:rPr>
        <w:t>4</w:t>
      </w:r>
      <w:r>
        <w:rPr>
          <w:noProof/>
        </w:rPr>
        <w:fldChar w:fldCharType="end"/>
      </w:r>
    </w:p>
    <w:p w:rsidR="00124382" w:rsidRDefault="00124382">
      <w:pPr>
        <w:pStyle w:val="TOC2"/>
      </w:pPr>
      <w:r>
        <w:t>2.1.</w:t>
      </w:r>
      <w:r>
        <w:tab/>
        <w:t>Introduction</w:t>
      </w:r>
      <w:r>
        <w:tab/>
      </w:r>
      <w:r>
        <w:fldChar w:fldCharType="begin"/>
      </w:r>
      <w:r>
        <w:instrText xml:space="preserve"> PAGEREF _Toc397341752 \h </w:instrText>
      </w:r>
      <w:r>
        <w:fldChar w:fldCharType="separate"/>
      </w:r>
      <w:r>
        <w:t>4</w:t>
      </w:r>
      <w:r>
        <w:fldChar w:fldCharType="end"/>
      </w:r>
    </w:p>
    <w:p w:rsidR="00124382" w:rsidRDefault="00124382">
      <w:pPr>
        <w:pStyle w:val="TOC2"/>
      </w:pPr>
      <w:r>
        <w:t>2.2.</w:t>
      </w:r>
      <w:r>
        <w:tab/>
        <w:t>Identifying areas for improvement</w:t>
      </w:r>
      <w:r>
        <w:tab/>
      </w:r>
      <w:r>
        <w:fldChar w:fldCharType="begin"/>
      </w:r>
      <w:r>
        <w:instrText xml:space="preserve"> PAGEREF _Toc397341753 \h </w:instrText>
      </w:r>
      <w:r>
        <w:fldChar w:fldCharType="separate"/>
      </w:r>
      <w:r>
        <w:t>5</w:t>
      </w:r>
      <w:r>
        <w:fldChar w:fldCharType="end"/>
      </w:r>
    </w:p>
    <w:p w:rsidR="00124382" w:rsidRDefault="00124382">
      <w:pPr>
        <w:pStyle w:val="TOC2"/>
      </w:pPr>
      <w:r>
        <w:t>2.3.</w:t>
      </w:r>
      <w:r>
        <w:tab/>
        <w:t>Comparison of council spending</w:t>
      </w:r>
      <w:r>
        <w:tab/>
      </w:r>
      <w:r>
        <w:fldChar w:fldCharType="begin"/>
      </w:r>
      <w:r>
        <w:instrText xml:space="preserve"> PAGEREF _Toc397341754 \h </w:instrText>
      </w:r>
      <w:r>
        <w:fldChar w:fldCharType="separate"/>
      </w:r>
      <w:r>
        <w:t>5</w:t>
      </w:r>
      <w:r>
        <w:fldChar w:fldCharType="end"/>
      </w:r>
    </w:p>
    <w:p w:rsidR="00124382" w:rsidRDefault="00124382">
      <w:pPr>
        <w:pStyle w:val="TOC2"/>
      </w:pPr>
      <w:r>
        <w:t>2.4.</w:t>
      </w:r>
      <w:r>
        <w:tab/>
        <w:t>Conclusions</w:t>
      </w:r>
      <w:r>
        <w:tab/>
      </w:r>
      <w:r>
        <w:fldChar w:fldCharType="begin"/>
      </w:r>
      <w:r>
        <w:instrText xml:space="preserve"> PAGEREF _Toc397341755 \h </w:instrText>
      </w:r>
      <w:r>
        <w:fldChar w:fldCharType="separate"/>
      </w:r>
      <w:r>
        <w:t>8</w:t>
      </w:r>
      <w:r>
        <w:fldChar w:fldCharType="end"/>
      </w:r>
    </w:p>
    <w:p w:rsidR="00124382" w:rsidRDefault="00124382">
      <w:pPr>
        <w:pStyle w:val="TOC1"/>
        <w:rPr>
          <w:rFonts w:eastAsiaTheme="minorEastAsia"/>
          <w:noProof/>
          <w:lang w:eastAsia="en-NZ"/>
        </w:rPr>
      </w:pPr>
      <w:r>
        <w:rPr>
          <w:noProof/>
        </w:rPr>
        <w:t>3.</w:t>
      </w:r>
      <w:r>
        <w:rPr>
          <w:rFonts w:eastAsiaTheme="minorEastAsia"/>
          <w:noProof/>
          <w:lang w:eastAsia="en-NZ"/>
        </w:rPr>
        <w:tab/>
      </w:r>
      <w:r>
        <w:rPr>
          <w:noProof/>
        </w:rPr>
        <w:t>Reasonable practicable options</w:t>
      </w:r>
      <w:r>
        <w:rPr>
          <w:noProof/>
        </w:rPr>
        <w:tab/>
      </w:r>
      <w:r>
        <w:rPr>
          <w:noProof/>
        </w:rPr>
        <w:fldChar w:fldCharType="begin"/>
      </w:r>
      <w:r>
        <w:rPr>
          <w:noProof/>
        </w:rPr>
        <w:instrText xml:space="preserve"> PAGEREF _Toc397341756 \h </w:instrText>
      </w:r>
      <w:r>
        <w:rPr>
          <w:noProof/>
        </w:rPr>
      </w:r>
      <w:r>
        <w:rPr>
          <w:noProof/>
        </w:rPr>
        <w:fldChar w:fldCharType="separate"/>
      </w:r>
      <w:r>
        <w:rPr>
          <w:noProof/>
        </w:rPr>
        <w:t>9</w:t>
      </w:r>
      <w:r>
        <w:rPr>
          <w:noProof/>
        </w:rPr>
        <w:fldChar w:fldCharType="end"/>
      </w:r>
    </w:p>
    <w:p w:rsidR="00124382" w:rsidRDefault="00124382">
      <w:pPr>
        <w:pStyle w:val="TOC2"/>
      </w:pPr>
      <w:r>
        <w:t>3.1.</w:t>
      </w:r>
      <w:r>
        <w:tab/>
        <w:t>What changes would mergers allow</w:t>
      </w:r>
      <w:r>
        <w:tab/>
      </w:r>
      <w:r>
        <w:fldChar w:fldCharType="begin"/>
      </w:r>
      <w:r>
        <w:instrText xml:space="preserve"> PAGEREF _Toc397341757 \h </w:instrText>
      </w:r>
      <w:r>
        <w:fldChar w:fldCharType="separate"/>
      </w:r>
      <w:r>
        <w:t>9</w:t>
      </w:r>
      <w:r>
        <w:fldChar w:fldCharType="end"/>
      </w:r>
    </w:p>
    <w:p w:rsidR="00124382" w:rsidRDefault="00124382">
      <w:pPr>
        <w:pStyle w:val="TOC2"/>
      </w:pPr>
      <w:r>
        <w:t>3.2.</w:t>
      </w:r>
      <w:r>
        <w:tab/>
        <w:t>Comparing the options</w:t>
      </w:r>
      <w:r>
        <w:tab/>
      </w:r>
      <w:r>
        <w:fldChar w:fldCharType="begin"/>
      </w:r>
      <w:r>
        <w:instrText xml:space="preserve"> PAGEREF _Toc397341758 \h </w:instrText>
      </w:r>
      <w:r>
        <w:fldChar w:fldCharType="separate"/>
      </w:r>
      <w:r>
        <w:t>9</w:t>
      </w:r>
      <w:r>
        <w:fldChar w:fldCharType="end"/>
      </w:r>
    </w:p>
    <w:p w:rsidR="00124382" w:rsidRDefault="00124382">
      <w:pPr>
        <w:pStyle w:val="TOC2"/>
      </w:pPr>
      <w:r>
        <w:t>3.3.</w:t>
      </w:r>
      <w:r>
        <w:tab/>
        <w:t>Conclusions</w:t>
      </w:r>
      <w:r>
        <w:tab/>
      </w:r>
      <w:r>
        <w:fldChar w:fldCharType="begin"/>
      </w:r>
      <w:r>
        <w:instrText xml:space="preserve"> PAGEREF _Toc397341759 \h </w:instrText>
      </w:r>
      <w:r>
        <w:fldChar w:fldCharType="separate"/>
      </w:r>
      <w:r>
        <w:t>10</w:t>
      </w:r>
      <w:r>
        <w:fldChar w:fldCharType="end"/>
      </w:r>
    </w:p>
    <w:p w:rsidR="004A63B0" w:rsidRDefault="00173B8B" w:rsidP="00BB1842">
      <w:pPr>
        <w:pStyle w:val="TOC1"/>
        <w:ind w:left="357" w:hanging="357"/>
      </w:pPr>
      <w:r>
        <w:fldChar w:fldCharType="end"/>
      </w:r>
    </w:p>
    <w:p w:rsidR="000238E8" w:rsidRDefault="000238E8" w:rsidP="005B08BF">
      <w:pPr>
        <w:pStyle w:val="NonTOCHeading3"/>
      </w:pPr>
      <w:r>
        <w:t>Tables</w:t>
      </w:r>
    </w:p>
    <w:p w:rsidR="00124382" w:rsidRDefault="00E86EA7">
      <w:pPr>
        <w:pStyle w:val="TableofFigures"/>
        <w:tabs>
          <w:tab w:val="right" w:leader="dot" w:pos="7644"/>
        </w:tabs>
        <w:rPr>
          <w:rFonts w:eastAsiaTheme="minorEastAsia" w:cstheme="minorBidi"/>
          <w:noProof/>
          <w:sz w:val="22"/>
          <w:szCs w:val="22"/>
          <w:lang w:eastAsia="en-NZ"/>
        </w:rPr>
      </w:pPr>
      <w:r>
        <w:fldChar w:fldCharType="begin"/>
      </w:r>
      <w:r>
        <w:instrText xml:space="preserve"> TOC \c "Table" </w:instrText>
      </w:r>
      <w:r>
        <w:fldChar w:fldCharType="separate"/>
      </w:r>
      <w:bookmarkStart w:id="4" w:name="_GoBack"/>
      <w:bookmarkEnd w:id="4"/>
      <w:r w:rsidR="00124382">
        <w:rPr>
          <w:noProof/>
        </w:rPr>
        <w:t>Table 1 Sources of funding</w:t>
      </w:r>
      <w:r w:rsidR="00124382">
        <w:rPr>
          <w:noProof/>
        </w:rPr>
        <w:tab/>
      </w:r>
      <w:r w:rsidR="00124382">
        <w:rPr>
          <w:noProof/>
        </w:rPr>
        <w:fldChar w:fldCharType="begin"/>
      </w:r>
      <w:r w:rsidR="00124382">
        <w:rPr>
          <w:noProof/>
        </w:rPr>
        <w:instrText xml:space="preserve"> PAGEREF _Toc397341760 \h </w:instrText>
      </w:r>
      <w:r w:rsidR="00124382">
        <w:rPr>
          <w:noProof/>
        </w:rPr>
      </w:r>
      <w:r w:rsidR="00124382">
        <w:rPr>
          <w:noProof/>
        </w:rPr>
        <w:fldChar w:fldCharType="separate"/>
      </w:r>
      <w:r w:rsidR="00124382">
        <w:rPr>
          <w:noProof/>
        </w:rPr>
        <w:t>6</w:t>
      </w:r>
      <w:r w:rsidR="00124382">
        <w:rPr>
          <w:noProof/>
        </w:rPr>
        <w:fldChar w:fldCharType="end"/>
      </w:r>
    </w:p>
    <w:p w:rsidR="00124382" w:rsidRDefault="00124382">
      <w:pPr>
        <w:pStyle w:val="TableofFigures"/>
        <w:tabs>
          <w:tab w:val="right" w:leader="dot" w:pos="7644"/>
        </w:tabs>
        <w:rPr>
          <w:rFonts w:eastAsiaTheme="minorEastAsia" w:cstheme="minorBidi"/>
          <w:noProof/>
          <w:sz w:val="22"/>
          <w:szCs w:val="22"/>
          <w:lang w:eastAsia="en-NZ"/>
        </w:rPr>
      </w:pPr>
      <w:r>
        <w:rPr>
          <w:noProof/>
        </w:rPr>
        <w:t>Table 2 Capital spending for new and replacement assets</w:t>
      </w:r>
      <w:r>
        <w:rPr>
          <w:noProof/>
        </w:rPr>
        <w:tab/>
      </w:r>
      <w:r>
        <w:rPr>
          <w:noProof/>
        </w:rPr>
        <w:fldChar w:fldCharType="begin"/>
      </w:r>
      <w:r>
        <w:rPr>
          <w:noProof/>
        </w:rPr>
        <w:instrText xml:space="preserve"> PAGEREF _Toc397341761 \h </w:instrText>
      </w:r>
      <w:r>
        <w:rPr>
          <w:noProof/>
        </w:rPr>
      </w:r>
      <w:r>
        <w:rPr>
          <w:noProof/>
        </w:rPr>
        <w:fldChar w:fldCharType="separate"/>
      </w:r>
      <w:r>
        <w:rPr>
          <w:noProof/>
        </w:rPr>
        <w:t>7</w:t>
      </w:r>
      <w:r>
        <w:rPr>
          <w:noProof/>
        </w:rPr>
        <w:fldChar w:fldCharType="end"/>
      </w:r>
    </w:p>
    <w:p w:rsidR="001150C0" w:rsidRPr="00B920E2" w:rsidRDefault="00E86EA7" w:rsidP="005B08BF">
      <w:r>
        <w:rPr>
          <w:b/>
          <w:bCs/>
          <w:noProof/>
          <w:lang w:val="en-US"/>
        </w:rPr>
        <w:fldChar w:fldCharType="end"/>
      </w:r>
    </w:p>
    <w:p w:rsidR="000238E8" w:rsidRDefault="000238E8" w:rsidP="00AE01EA"/>
    <w:p w:rsidR="004A63B0" w:rsidRDefault="004A63B0" w:rsidP="00AE01EA">
      <w:pPr>
        <w:sectPr w:rsidR="004A63B0" w:rsidSect="00C17D87">
          <w:headerReference w:type="even" r:id="rId18"/>
          <w:headerReference w:type="default" r:id="rId19"/>
          <w:footerReference w:type="even" r:id="rId20"/>
          <w:footerReference w:type="default" r:id="rId21"/>
          <w:headerReference w:type="first" r:id="rId22"/>
          <w:footerReference w:type="first" r:id="rId23"/>
          <w:type w:val="oddPage"/>
          <w:pgSz w:w="11907" w:h="16840" w:code="9"/>
          <w:pgMar w:top="2268" w:right="1701" w:bottom="1134" w:left="2552" w:header="1134" w:footer="567" w:gutter="0"/>
          <w:pgNumType w:fmt="lowerRoman" w:start="1"/>
          <w:cols w:space="720"/>
        </w:sectPr>
      </w:pPr>
    </w:p>
    <w:p w:rsidR="00752FA3" w:rsidRDefault="00752FA3" w:rsidP="00752FA3">
      <w:pPr>
        <w:pStyle w:val="Heading1"/>
      </w:pPr>
      <w:bookmarkStart w:id="5" w:name="_Toc396862899"/>
      <w:bookmarkStart w:id="6" w:name="_Toc396721545"/>
      <w:bookmarkStart w:id="7" w:name="_Toc397341747"/>
      <w:r>
        <w:t>Introduction</w:t>
      </w:r>
      <w:bookmarkEnd w:id="5"/>
      <w:bookmarkEnd w:id="7"/>
    </w:p>
    <w:p w:rsidR="00752FA3" w:rsidRDefault="00752FA3" w:rsidP="00752FA3">
      <w:pPr>
        <w:pStyle w:val="Heading2"/>
        <w:rPr>
          <w:lang w:val="en-US"/>
        </w:rPr>
      </w:pPr>
      <w:bookmarkStart w:id="8" w:name="_Toc396862900"/>
      <w:bookmarkStart w:id="9" w:name="_Toc397341748"/>
      <w:r>
        <w:rPr>
          <w:lang w:val="en-US"/>
        </w:rPr>
        <w:t>Scope</w:t>
      </w:r>
      <w:bookmarkEnd w:id="8"/>
      <w:bookmarkEnd w:id="9"/>
    </w:p>
    <w:p w:rsidR="00752FA3" w:rsidRDefault="00752FA3" w:rsidP="00752FA3">
      <w:pPr>
        <w:pStyle w:val="BodyText"/>
        <w:rPr>
          <w:lang w:val="en-US"/>
        </w:rPr>
      </w:pPr>
      <w:r>
        <w:rPr>
          <w:lang w:val="en-US"/>
        </w:rPr>
        <w:t>The Local Government Commission has r</w:t>
      </w:r>
      <w:r w:rsidRPr="00CF3C7C">
        <w:rPr>
          <w:lang w:val="en-US"/>
        </w:rPr>
        <w:t xml:space="preserve">eceived two alternative proposals for the arrangement of local government in the Wellington Region. </w:t>
      </w:r>
      <w:r>
        <w:rPr>
          <w:lang w:val="en-US"/>
        </w:rPr>
        <w:t>These are for a unitary council in the Wairarapa and for a unitary council for the whole of the Wellington Region with a second ‘Board’ tier of local governance.</w:t>
      </w:r>
    </w:p>
    <w:p w:rsidR="00752FA3" w:rsidRDefault="00752FA3" w:rsidP="00752FA3">
      <w:pPr>
        <w:pStyle w:val="BodyText"/>
        <w:rPr>
          <w:lang w:val="en-US"/>
        </w:rPr>
      </w:pPr>
      <w:r>
        <w:rPr>
          <w:lang w:val="en-US"/>
        </w:rPr>
        <w:t>The objective of this paper is to evaluate the cost and benefit of status quo arrangements for the delivery of regional facilities associated with sporting cultural and other events in the Wellington region. The issue to be addressed is whether current arrangements are efficient and effective</w:t>
      </w:r>
      <w:r w:rsidR="00D00595">
        <w:rPr>
          <w:lang w:val="en-US"/>
        </w:rPr>
        <w:t>.</w:t>
      </w:r>
    </w:p>
    <w:p w:rsidR="00752FA3" w:rsidRDefault="00752FA3" w:rsidP="00752FA3">
      <w:pPr>
        <w:pStyle w:val="BodyText"/>
      </w:pPr>
      <w:r>
        <w:t xml:space="preserve">This report is a high level analysis of the drivers of council </w:t>
      </w:r>
      <w:r w:rsidR="00D00595">
        <w:t>operational and capit</w:t>
      </w:r>
      <w:r w:rsidR="005524AD">
        <w:t>a</w:t>
      </w:r>
      <w:r w:rsidR="00D00595">
        <w:t xml:space="preserve">l </w:t>
      </w:r>
      <w:r>
        <w:t>spending as described in council long term plans, key strategy documents and interviews with a small number of council staff.</w:t>
      </w:r>
      <w:r w:rsidR="00D00595">
        <w:t xml:space="preserve"> </w:t>
      </w:r>
      <w:r w:rsidR="00EF7070">
        <w:t xml:space="preserve">Our </w:t>
      </w:r>
      <w:r w:rsidR="005524AD">
        <w:t>report focuses on the two sets of decisions on council provision of sporting</w:t>
      </w:r>
      <w:r w:rsidR="0068043D">
        <w:t xml:space="preserve">, </w:t>
      </w:r>
      <w:r w:rsidR="005524AD">
        <w:t>cultural facilities that are most likely to be influenced by mergers of councils:</w:t>
      </w:r>
    </w:p>
    <w:p w:rsidR="005524AD" w:rsidRDefault="005524AD" w:rsidP="005524AD">
      <w:pPr>
        <w:pStyle w:val="Bullet"/>
      </w:pPr>
      <w:r>
        <w:t>balance between community pays and user pays</w:t>
      </w:r>
    </w:p>
    <w:p w:rsidR="005524AD" w:rsidRDefault="005524AD" w:rsidP="005524AD">
      <w:pPr>
        <w:pStyle w:val="Bullet"/>
      </w:pPr>
      <w:r>
        <w:t xml:space="preserve">allocation of future investment funding to </w:t>
      </w:r>
      <w:r w:rsidR="00EF7070">
        <w:t xml:space="preserve">upgrade </w:t>
      </w:r>
      <w:r>
        <w:t xml:space="preserve">existing </w:t>
      </w:r>
      <w:r w:rsidR="00EF7070">
        <w:t xml:space="preserve">or build </w:t>
      </w:r>
      <w:r>
        <w:t xml:space="preserve">new </w:t>
      </w:r>
      <w:r w:rsidR="00EF7070">
        <w:t>facilities</w:t>
      </w:r>
      <w:r w:rsidR="004556E2">
        <w:t xml:space="preserve"> over the next ten years</w:t>
      </w:r>
      <w:r>
        <w:t>.</w:t>
      </w:r>
    </w:p>
    <w:p w:rsidR="00752FA3" w:rsidRDefault="00752FA3" w:rsidP="00752FA3">
      <w:pPr>
        <w:pStyle w:val="Heading2"/>
      </w:pPr>
      <w:bookmarkStart w:id="10" w:name="_Toc396862901"/>
      <w:bookmarkStart w:id="11" w:name="_Toc397341749"/>
      <w:r>
        <w:t>Reasonable practical options</w:t>
      </w:r>
      <w:bookmarkEnd w:id="10"/>
      <w:bookmarkEnd w:id="11"/>
    </w:p>
    <w:p w:rsidR="00752FA3" w:rsidRDefault="00752FA3" w:rsidP="00752FA3">
      <w:pPr>
        <w:pStyle w:val="BodyText"/>
      </w:pPr>
      <w:r>
        <w:t xml:space="preserve">This paper is part of an evaluation of the reorganisation of Wellington councils that has received submissions on 17 reasonable practicable options. To make the analysis task more tractable the project manager has </w:t>
      </w:r>
      <w:r w:rsidR="00D3708E">
        <w:t xml:space="preserve">identified 9 reasonable practicable options grouped into </w:t>
      </w:r>
      <w:r w:rsidR="009C4797">
        <w:t>4</w:t>
      </w:r>
      <w:r>
        <w:t xml:space="preserve"> primary reasonably practicable options</w:t>
      </w:r>
      <w:r w:rsidR="009C4797">
        <w:t>)</w:t>
      </w:r>
      <w:r>
        <w:t xml:space="preserve"> and sub-options within two of those. The </w:t>
      </w:r>
      <w:r w:rsidR="00D3708E">
        <w:t xml:space="preserve">9 </w:t>
      </w:r>
      <w:r>
        <w:t>options are:</w:t>
      </w:r>
    </w:p>
    <w:p w:rsidR="00752FA3" w:rsidRDefault="00752FA3" w:rsidP="00752FA3">
      <w:pPr>
        <w:pStyle w:val="Bullet"/>
      </w:pPr>
      <w:r>
        <w:t>the status quo</w:t>
      </w:r>
    </w:p>
    <w:p w:rsidR="00752FA3" w:rsidRDefault="00752FA3" w:rsidP="00752FA3">
      <w:pPr>
        <w:pStyle w:val="Bullet"/>
      </w:pPr>
      <w:r>
        <w:t>enhanced local efficiency - territorial authority amalgamations</w:t>
      </w:r>
      <w:r w:rsidR="009C4797">
        <w:t xml:space="preserve"> </w:t>
      </w:r>
      <w:r w:rsidR="00D3708E">
        <w:t>including:</w:t>
      </w:r>
    </w:p>
    <w:p w:rsidR="00D3708E" w:rsidRDefault="00D3708E" w:rsidP="00D3708E">
      <w:pPr>
        <w:pStyle w:val="Bullet2ndlevel"/>
      </w:pPr>
      <w:r>
        <w:t>one Wairarapa territorial authority</w:t>
      </w:r>
    </w:p>
    <w:p w:rsidR="00D3708E" w:rsidRDefault="00D3708E" w:rsidP="00D3708E">
      <w:pPr>
        <w:pStyle w:val="Bullet2ndlevel"/>
      </w:pPr>
      <w:r>
        <w:t xml:space="preserve">one Hutt Valley </w:t>
      </w:r>
      <w:r>
        <w:t>territorial authority</w:t>
      </w:r>
    </w:p>
    <w:p w:rsidR="00D3708E" w:rsidRDefault="00D3708E" w:rsidP="00D3708E">
      <w:pPr>
        <w:pStyle w:val="Bullet2ndlevel"/>
      </w:pPr>
      <w:r>
        <w:t>one Western and North Wellington territorial authority</w:t>
      </w:r>
    </w:p>
    <w:p w:rsidR="00D3708E" w:rsidRDefault="00D3708E" w:rsidP="00D3708E">
      <w:pPr>
        <w:pStyle w:val="Bullet2ndlevel"/>
      </w:pPr>
      <w:r>
        <w:t xml:space="preserve">one </w:t>
      </w:r>
      <w:r>
        <w:t xml:space="preserve">Wairarapa </w:t>
      </w:r>
      <w:r>
        <w:t xml:space="preserve">and </w:t>
      </w:r>
      <w:r>
        <w:t>one Hutt Valley territorial authority</w:t>
      </w:r>
      <w:r>
        <w:t xml:space="preserve"> plus Wellington City Council (WCC), Porirua City Council (PCC) and Kapiti Coast District Council (KCDC)</w:t>
      </w:r>
    </w:p>
    <w:p w:rsidR="00D3708E" w:rsidRDefault="00D3708E" w:rsidP="00D3708E">
      <w:pPr>
        <w:pStyle w:val="Bullet2ndlevel"/>
      </w:pPr>
      <w:r>
        <w:t>three territorial authorities</w:t>
      </w:r>
    </w:p>
    <w:p w:rsidR="00752FA3" w:rsidRDefault="00752FA3" w:rsidP="00752FA3">
      <w:pPr>
        <w:pStyle w:val="Bullet"/>
      </w:pPr>
      <w:r>
        <w:t>stronger regional delivery – the transfer of obligations to the Greater Wellington Regional Council</w:t>
      </w:r>
    </w:p>
    <w:p w:rsidR="00752FA3" w:rsidRDefault="00752FA3" w:rsidP="00752FA3">
      <w:pPr>
        <w:pStyle w:val="Bullet"/>
      </w:pPr>
      <w:r>
        <w:t xml:space="preserve">one Wellington Council with no local boards </w:t>
      </w:r>
    </w:p>
    <w:p w:rsidR="00752FA3" w:rsidRDefault="00752FA3" w:rsidP="00752FA3">
      <w:pPr>
        <w:pStyle w:val="Bullet"/>
      </w:pPr>
      <w:r>
        <w:t>one Wellington Council with local bo</w:t>
      </w:r>
      <w:r w:rsidR="00EF7070">
        <w:t>ards.</w:t>
      </w:r>
    </w:p>
    <w:p w:rsidR="0068043D" w:rsidRDefault="0068043D" w:rsidP="00EF7070">
      <w:pPr>
        <w:pStyle w:val="BodyText"/>
      </w:pPr>
      <w:r>
        <w:t>Reasonable practicable options for councils to rationalise their sporting cultural and other event facilities are also affected by the following influences:</w:t>
      </w:r>
    </w:p>
    <w:p w:rsidR="00EF7070" w:rsidRDefault="00EF7070" w:rsidP="0068043D">
      <w:pPr>
        <w:pStyle w:val="Bullet"/>
      </w:pPr>
      <w:r>
        <w:t>local authorities can find it difficult to decommission and rationalise sports</w:t>
      </w:r>
      <w:r w:rsidR="00F902C6">
        <w:t>,</w:t>
      </w:r>
      <w:r>
        <w:t xml:space="preserve"> cultural and other event facilities because of strong commun</w:t>
      </w:r>
      <w:r w:rsidR="00F902C6">
        <w:t>i</w:t>
      </w:r>
      <w:r>
        <w:t>t</w:t>
      </w:r>
      <w:r w:rsidR="00F902C6">
        <w:t>y attachment to those facilities. Also in the case of sports fields</w:t>
      </w:r>
      <w:r w:rsidR="0068043D">
        <w:t>,</w:t>
      </w:r>
      <w:r w:rsidR="00F902C6">
        <w:t xml:space="preserve"> </w:t>
      </w:r>
      <w:r w:rsidR="0068043D">
        <w:t xml:space="preserve">the </w:t>
      </w:r>
      <w:r w:rsidR="00F902C6">
        <w:t>alternative uses for the land</w:t>
      </w:r>
      <w:r w:rsidR="0068043D">
        <w:t xml:space="preserve"> are sometimes limited</w:t>
      </w:r>
      <w:r w:rsidR="00355447">
        <w:rPr>
          <w:rStyle w:val="FootnoteReference"/>
        </w:rPr>
        <w:footnoteReference w:id="1"/>
      </w:r>
      <w:r w:rsidR="00F902C6">
        <w:t>.</w:t>
      </w:r>
    </w:p>
    <w:p w:rsidR="0068043D" w:rsidRDefault="0077744F" w:rsidP="0068043D">
      <w:pPr>
        <w:pStyle w:val="Bullet"/>
      </w:pPr>
      <w:r>
        <w:t>some national funding bod</w:t>
      </w:r>
      <w:r w:rsidR="00FC77AC">
        <w:t xml:space="preserve">ies such as Sport New Zealand have developed </w:t>
      </w:r>
      <w:r w:rsidR="007F4325">
        <w:t>guidelines for</w:t>
      </w:r>
      <w:r w:rsidR="00FC77AC">
        <w:t xml:space="preserve"> the type of facility required for different populations.</w:t>
      </w:r>
    </w:p>
    <w:p w:rsidR="00752FA3" w:rsidRDefault="00752FA3" w:rsidP="00752FA3">
      <w:pPr>
        <w:pStyle w:val="Heading2"/>
      </w:pPr>
      <w:bookmarkStart w:id="12" w:name="_Toc396862902"/>
      <w:bookmarkStart w:id="13" w:name="_Toc397341750"/>
      <w:r>
        <w:t>Criteria</w:t>
      </w:r>
      <w:bookmarkEnd w:id="12"/>
      <w:bookmarkEnd w:id="13"/>
    </w:p>
    <w:p w:rsidR="00EF7070" w:rsidRDefault="00D00595" w:rsidP="00752FA3">
      <w:pPr>
        <w:pStyle w:val="BodyText"/>
      </w:pPr>
      <w:r>
        <w:t>Individual council</w:t>
      </w:r>
      <w:r w:rsidR="005524AD">
        <w:t xml:space="preserve">’s portfolio of sport, cultural and event facilities is the legacy of a set of historical decisions based on community demand and availability of funding. The current </w:t>
      </w:r>
      <w:r w:rsidR="00EF7070">
        <w:t>utilisation</w:t>
      </w:r>
      <w:r w:rsidR="005524AD">
        <w:t xml:space="preserve"> </w:t>
      </w:r>
      <w:r w:rsidR="00EF7070">
        <w:t>of these facilities is influenced by a combination of the following:</w:t>
      </w:r>
    </w:p>
    <w:p w:rsidR="00EF7070" w:rsidRDefault="00EF7070" w:rsidP="00EF7070">
      <w:pPr>
        <w:pStyle w:val="Bullet"/>
      </w:pPr>
      <w:r>
        <w:t>accuracy of the forecasts for level of demand and nature of use at the time the facility was built - are they still fit for pu</w:t>
      </w:r>
      <w:r w:rsidR="0068043D">
        <w:t>r</w:t>
      </w:r>
      <w:r>
        <w:t>pose</w:t>
      </w:r>
      <w:r w:rsidR="00355447">
        <w:rPr>
          <w:rStyle w:val="FootnoteReference"/>
        </w:rPr>
        <w:footnoteReference w:id="2"/>
      </w:r>
    </w:p>
    <w:p w:rsidR="0068043D" w:rsidRDefault="0068043D" w:rsidP="00EF7070">
      <w:pPr>
        <w:pStyle w:val="Bullet"/>
      </w:pPr>
      <w:r>
        <w:t>decisions on the location and design of newer facilities – were they complementary or compete with existing facilities.</w:t>
      </w:r>
    </w:p>
    <w:p w:rsidR="0068043D" w:rsidRDefault="0068043D" w:rsidP="00EF7070">
      <w:pPr>
        <w:pStyle w:val="Bullet"/>
      </w:pPr>
      <w:r>
        <w:t>balance between community pays and user pays</w:t>
      </w:r>
    </w:p>
    <w:p w:rsidR="00752FA3" w:rsidRDefault="00752FA3" w:rsidP="0068043D">
      <w:pPr>
        <w:pStyle w:val="BodyText"/>
      </w:pPr>
      <w:r>
        <w:t xml:space="preserve">Using this proposition as a starting point we </w:t>
      </w:r>
      <w:r w:rsidR="0077744F">
        <w:t xml:space="preserve">have focused on the ‘Local services’ and ‘ Communities and issues’ sections of the evaluation criteria drawn from the </w:t>
      </w:r>
      <w:r>
        <w:t>Local Government Act evaluation framework as follows:</w:t>
      </w:r>
    </w:p>
    <w:p w:rsidR="00752FA3" w:rsidRDefault="0077744F" w:rsidP="00752FA3">
      <w:pPr>
        <w:pStyle w:val="Bullet"/>
        <w:rPr>
          <w:lang w:val="en-AU"/>
        </w:rPr>
      </w:pPr>
      <w:r>
        <w:rPr>
          <w:lang w:val="en-AU"/>
        </w:rPr>
        <w:t>Local services</w:t>
      </w:r>
      <w:r w:rsidR="00752FA3">
        <w:rPr>
          <w:lang w:val="en-AU"/>
        </w:rPr>
        <w:t>:</w:t>
      </w:r>
    </w:p>
    <w:p w:rsidR="0077744F" w:rsidRDefault="0077744F" w:rsidP="00752FA3">
      <w:pPr>
        <w:pStyle w:val="Bullet2ndlevel"/>
        <w:rPr>
          <w:lang w:val="en-AU"/>
        </w:rPr>
      </w:pPr>
      <w:r>
        <w:rPr>
          <w:lang w:val="en-AU"/>
        </w:rPr>
        <w:t>Would the provision of local services be improved?</w:t>
      </w:r>
    </w:p>
    <w:p w:rsidR="00752FA3" w:rsidRPr="003A28A5" w:rsidRDefault="00752FA3" w:rsidP="00752FA3">
      <w:pPr>
        <w:pStyle w:val="Bullet2ndlevel"/>
        <w:rPr>
          <w:lang w:val="en-AU"/>
        </w:rPr>
      </w:pPr>
      <w:r w:rsidRPr="003A28A5">
        <w:rPr>
          <w:lang w:val="en-AU"/>
        </w:rPr>
        <w:t>Would delivery be more efficient</w:t>
      </w:r>
      <w:r>
        <w:rPr>
          <w:lang w:val="en-AU"/>
        </w:rPr>
        <w:t xml:space="preserve"> (</w:t>
      </w:r>
      <w:r w:rsidR="0077744F">
        <w:rPr>
          <w:lang w:val="en-AU"/>
        </w:rPr>
        <w:t xml:space="preserve">provide </w:t>
      </w:r>
      <w:r>
        <w:rPr>
          <w:lang w:val="en-AU"/>
        </w:rPr>
        <w:t xml:space="preserve">more </w:t>
      </w:r>
      <w:r w:rsidR="0077744F">
        <w:rPr>
          <w:lang w:val="en-AU"/>
        </w:rPr>
        <w:t xml:space="preserve">services for the same </w:t>
      </w:r>
      <w:r>
        <w:rPr>
          <w:lang w:val="en-AU"/>
        </w:rPr>
        <w:t>level of resources)</w:t>
      </w:r>
      <w:r w:rsidRPr="003A28A5">
        <w:rPr>
          <w:lang w:val="en-AU"/>
        </w:rPr>
        <w:t>?</w:t>
      </w:r>
    </w:p>
    <w:p w:rsidR="00752FA3" w:rsidRPr="003A28A5" w:rsidRDefault="00752FA3" w:rsidP="00752FA3">
      <w:pPr>
        <w:pStyle w:val="Bullet2ndlevel"/>
        <w:rPr>
          <w:lang w:val="en-AU"/>
        </w:rPr>
      </w:pPr>
      <w:r w:rsidRPr="003A28A5">
        <w:rPr>
          <w:lang w:val="en-AU"/>
        </w:rPr>
        <w:t>Would delivery be more effective</w:t>
      </w:r>
      <w:r>
        <w:rPr>
          <w:lang w:val="en-AU"/>
        </w:rPr>
        <w:t xml:space="preserve"> (deliver </w:t>
      </w:r>
      <w:r w:rsidR="0077744F">
        <w:rPr>
          <w:lang w:val="en-AU"/>
        </w:rPr>
        <w:t xml:space="preserve">facilities </w:t>
      </w:r>
      <w:r>
        <w:rPr>
          <w:lang w:val="en-AU"/>
        </w:rPr>
        <w:t xml:space="preserve">more closely aligned to </w:t>
      </w:r>
      <w:r w:rsidR="0077744F">
        <w:rPr>
          <w:lang w:val="en-AU"/>
        </w:rPr>
        <w:t>current and future requirements</w:t>
      </w:r>
      <w:r w:rsidR="00547E5C">
        <w:rPr>
          <w:lang w:val="en-AU"/>
        </w:rPr>
        <w:t xml:space="preserve"> of the community</w:t>
      </w:r>
      <w:r>
        <w:rPr>
          <w:lang w:val="en-AU"/>
        </w:rPr>
        <w:t>)</w:t>
      </w:r>
      <w:r w:rsidRPr="003A28A5">
        <w:rPr>
          <w:lang w:val="en-AU"/>
        </w:rPr>
        <w:t>?</w:t>
      </w:r>
    </w:p>
    <w:p w:rsidR="00752FA3" w:rsidRPr="003A28A5" w:rsidRDefault="00547E5C" w:rsidP="00752FA3">
      <w:pPr>
        <w:pStyle w:val="Bullet2ndlevel"/>
        <w:rPr>
          <w:lang w:val="en-AU"/>
        </w:rPr>
      </w:pPr>
      <w:r>
        <w:rPr>
          <w:lang w:val="en-AU"/>
        </w:rPr>
        <w:t>Is the provision of regional facilities different from the provision of local facilities</w:t>
      </w:r>
    </w:p>
    <w:p w:rsidR="00752FA3" w:rsidRDefault="0077744F" w:rsidP="00752FA3">
      <w:pPr>
        <w:pStyle w:val="Bullet"/>
        <w:rPr>
          <w:lang w:val="en-AU"/>
        </w:rPr>
      </w:pPr>
      <w:r>
        <w:rPr>
          <w:lang w:val="en-AU"/>
        </w:rPr>
        <w:t>Communities and issues</w:t>
      </w:r>
      <w:r w:rsidR="00752FA3">
        <w:rPr>
          <w:lang w:val="en-AU"/>
        </w:rPr>
        <w:t>:</w:t>
      </w:r>
    </w:p>
    <w:p w:rsidR="00752FA3" w:rsidRPr="003A28A5" w:rsidRDefault="00752FA3" w:rsidP="00752FA3">
      <w:pPr>
        <w:pStyle w:val="Bullet2ndlevel"/>
        <w:rPr>
          <w:lang w:val="en-AU"/>
        </w:rPr>
      </w:pPr>
      <w:r w:rsidRPr="003A28A5">
        <w:rPr>
          <w:lang w:val="en-AU"/>
        </w:rPr>
        <w:t>W</w:t>
      </w:r>
      <w:r w:rsidR="0077744F">
        <w:rPr>
          <w:lang w:val="en-AU"/>
        </w:rPr>
        <w:t xml:space="preserve">hat are </w:t>
      </w:r>
      <w:r w:rsidRPr="003A28A5">
        <w:rPr>
          <w:lang w:val="en-AU"/>
        </w:rPr>
        <w:t xml:space="preserve">the issues currently facing the affected </w:t>
      </w:r>
      <w:r w:rsidR="007F4325" w:rsidRPr="003A28A5">
        <w:rPr>
          <w:lang w:val="en-AU"/>
        </w:rPr>
        <w:t>area</w:t>
      </w:r>
      <w:r w:rsidR="007F4325">
        <w:rPr>
          <w:lang w:val="en-AU"/>
        </w:rPr>
        <w:t>?</w:t>
      </w:r>
    </w:p>
    <w:p w:rsidR="00752FA3" w:rsidRPr="003A28A5" w:rsidRDefault="00752FA3" w:rsidP="00752FA3">
      <w:pPr>
        <w:pStyle w:val="Bullet2ndlevel"/>
        <w:rPr>
          <w:lang w:val="en-AU"/>
        </w:rPr>
      </w:pPr>
      <w:r w:rsidRPr="003A28A5">
        <w:rPr>
          <w:lang w:val="en-AU"/>
        </w:rPr>
        <w:t>What are the issues that the communities of the affected area must address in the future?</w:t>
      </w:r>
    </w:p>
    <w:p w:rsidR="00752FA3" w:rsidRDefault="00752FA3" w:rsidP="00752FA3">
      <w:pPr>
        <w:pStyle w:val="Bullet2ndlevel"/>
        <w:rPr>
          <w:lang w:val="en-AU"/>
        </w:rPr>
      </w:pPr>
      <w:r w:rsidRPr="003A28A5">
        <w:rPr>
          <w:lang w:val="en-AU"/>
        </w:rPr>
        <w:t>To what extent are the issues able to be addressed / being addressed under the status quo?</w:t>
      </w:r>
    </w:p>
    <w:p w:rsidR="009007FD" w:rsidRDefault="009007FD" w:rsidP="009007FD">
      <w:pPr>
        <w:pStyle w:val="BodyText"/>
      </w:pPr>
      <w:r>
        <w:t>Economic principles applied to the characteristics of sports and recreation facilities can assist in this assessment. Much local government activity can be described as dealing with local market failures and externality effects and the most efficient level of dealing with such effects varies with scale. Thus playing fields and stadia hosting regional teams or competitions are regional facilities deserving support across the communities that benefit, whereas those of more neighbourhood character are more appropriately provide by more local communities through mechanisms such as targeted rates.</w:t>
      </w:r>
    </w:p>
    <w:p w:rsidR="009007FD" w:rsidRDefault="009007FD" w:rsidP="009007FD">
      <w:pPr>
        <w:pStyle w:val="BodyText"/>
      </w:pPr>
      <w:r>
        <w:t xml:space="preserve">Sport and recreation facilities occupy a spectrum from excludable private goods (such as swimming pools and court facilities) to open access public goods (such as parks and gardens) with playing fields in mid-range serving aspects of both (excludable pitch use and open access informal visitation). This provides guidance on the relative mix of user pays and communal funding arrangements for the different types of facility. </w:t>
      </w:r>
    </w:p>
    <w:p w:rsidR="008C1A3E" w:rsidRDefault="00E32C5C" w:rsidP="009007FD">
      <w:pPr>
        <w:pStyle w:val="BodyText"/>
      </w:pPr>
      <w:r>
        <w:t>These principles may help guide co-ordination efficiencies when applied to the merging of functions across district authorities. Clearer identification of the types of facilities in the region-wide network, the markets they serve helps to identify the complementarity and substitution between different facilities and where over-or under-supply occurs that can be addressed by the merged entity.</w:t>
      </w:r>
    </w:p>
    <w:p w:rsidR="00C12BB5" w:rsidRDefault="00C12BB5" w:rsidP="00C12BB5">
      <w:pPr>
        <w:pStyle w:val="Heading1"/>
      </w:pPr>
      <w:bookmarkStart w:id="14" w:name="_Toc397341751"/>
      <w:r>
        <w:t>Current situation</w:t>
      </w:r>
      <w:bookmarkEnd w:id="6"/>
      <w:bookmarkEnd w:id="14"/>
    </w:p>
    <w:p w:rsidR="00547E5C" w:rsidRDefault="00547E5C" w:rsidP="00547E5C">
      <w:pPr>
        <w:pStyle w:val="Heading2"/>
      </w:pPr>
      <w:bookmarkStart w:id="15" w:name="_Toc397341752"/>
      <w:r>
        <w:t>Introduction</w:t>
      </w:r>
      <w:bookmarkEnd w:id="15"/>
    </w:p>
    <w:p w:rsidR="00547E5C" w:rsidRDefault="00547E5C" w:rsidP="00547E5C">
      <w:pPr>
        <w:pStyle w:val="BodyText"/>
      </w:pPr>
      <w:r>
        <w:t xml:space="preserve">Sport, cultural and other major event amenities each contribute to council provision of community services but also each pose quite different </w:t>
      </w:r>
      <w:r w:rsidR="00203427">
        <w:t xml:space="preserve">operational </w:t>
      </w:r>
      <w:r w:rsidR="000112DE">
        <w:t xml:space="preserve">and capital </w:t>
      </w:r>
      <w:r w:rsidR="00203427">
        <w:t xml:space="preserve">spending challenges for territorial authorities </w:t>
      </w:r>
      <w:r w:rsidR="000112DE">
        <w:t xml:space="preserve">or a </w:t>
      </w:r>
      <w:r w:rsidR="00203427">
        <w:t xml:space="preserve">regional </w:t>
      </w:r>
      <w:r w:rsidR="000112DE">
        <w:t xml:space="preserve">group of </w:t>
      </w:r>
      <w:r w:rsidR="00203427">
        <w:t>councils alike. In particular:</w:t>
      </w:r>
    </w:p>
    <w:p w:rsidR="00203427" w:rsidRDefault="00203427" w:rsidP="00203427">
      <w:pPr>
        <w:pStyle w:val="Bullet"/>
      </w:pPr>
      <w:r>
        <w:t xml:space="preserve">venues for large events such as </w:t>
      </w:r>
      <w:r w:rsidR="007F4325">
        <w:t>stadia</w:t>
      </w:r>
      <w:r>
        <w:t xml:space="preserve"> require a catchment area large enough to attract major events to generate frequent use of the facility. Although individual communities may aspire to building these facilities the cost of constructing these venues tends to limit </w:t>
      </w:r>
      <w:r w:rsidR="000F2905">
        <w:t>the duplication.</w:t>
      </w:r>
    </w:p>
    <w:p w:rsidR="000F2905" w:rsidRDefault="000F2905" w:rsidP="00203427">
      <w:pPr>
        <w:pStyle w:val="Bullet"/>
      </w:pPr>
      <w:r>
        <w:t xml:space="preserve">assessing and meeting local demand for sporting and recreational amenities is </w:t>
      </w:r>
      <w:r w:rsidR="004556E2">
        <w:t xml:space="preserve">complex </w:t>
      </w:r>
      <w:r>
        <w:t>because:</w:t>
      </w:r>
    </w:p>
    <w:p w:rsidR="000F2905" w:rsidRDefault="000F2905" w:rsidP="000F2905">
      <w:pPr>
        <w:pStyle w:val="Bullet2ndlevel"/>
      </w:pPr>
      <w:r>
        <w:t>community preferences for sport and recreation can change quickly</w:t>
      </w:r>
      <w:r w:rsidR="003B236A">
        <w:t xml:space="preserve"> as can the types of games offered within codes and the playing surfaces required</w:t>
      </w:r>
    </w:p>
    <w:p w:rsidR="000F2905" w:rsidRDefault="000112DE" w:rsidP="000F2905">
      <w:pPr>
        <w:pStyle w:val="Bullet2ndlevel"/>
      </w:pPr>
      <w:r>
        <w:t xml:space="preserve">people playing sport </w:t>
      </w:r>
      <w:r w:rsidR="000F2905">
        <w:t xml:space="preserve">are often affiliated to regional or national organisations that </w:t>
      </w:r>
      <w:r>
        <w:t xml:space="preserve">both </w:t>
      </w:r>
      <w:r w:rsidR="000F2905">
        <w:t>set requirement for the quality and willingness to pay for facilities</w:t>
      </w:r>
      <w:r>
        <w:t xml:space="preserve"> and also alter how sports facilities are used</w:t>
      </w:r>
    </w:p>
    <w:p w:rsidR="000112DE" w:rsidRDefault="000112DE" w:rsidP="000F2905">
      <w:pPr>
        <w:pStyle w:val="Bullet2ndlevel"/>
      </w:pPr>
      <w:r>
        <w:t>the capital intensity, and life of the facilities varies between sport</w:t>
      </w:r>
      <w:r w:rsidR="00CD4DE2">
        <w:t>s</w:t>
      </w:r>
    </w:p>
    <w:p w:rsidR="00A72766" w:rsidRDefault="00A72766" w:rsidP="000F2905">
      <w:pPr>
        <w:pStyle w:val="Bullet2ndlevel"/>
      </w:pPr>
      <w:r>
        <w:t>sport and recreation facilities share a common problem of low utilisation during school hours. The suggested solution to this problem is to make the facilities more convenient for schools to use (preferably by locating them closer to or within schools.)</w:t>
      </w:r>
    </w:p>
    <w:p w:rsidR="000C29BC" w:rsidRDefault="000112DE" w:rsidP="000112DE">
      <w:pPr>
        <w:pStyle w:val="Bullet"/>
      </w:pPr>
      <w:r>
        <w:t>Cultural facilities such as libraries, museums and community halls are essentially purpose built facilities that vary widely in scale and use according to the needs of the community in which they are located.</w:t>
      </w:r>
      <w:r w:rsidR="00A72766">
        <w:t xml:space="preserve"> Their attraction to people living outside the community in which they are located will depend on the uniquen</w:t>
      </w:r>
      <w:r w:rsidR="004556E2">
        <w:t>ess</w:t>
      </w:r>
      <w:r w:rsidR="000C29BC">
        <w:rPr>
          <w:rStyle w:val="FootnoteReference"/>
        </w:rPr>
        <w:footnoteReference w:id="3"/>
      </w:r>
      <w:r w:rsidR="004556E2">
        <w:t xml:space="preserve"> in the region.</w:t>
      </w:r>
    </w:p>
    <w:p w:rsidR="00FC46DC" w:rsidRDefault="00FC46DC" w:rsidP="00FC46DC">
      <w:pPr>
        <w:pStyle w:val="BodyText"/>
      </w:pPr>
      <w:r>
        <w:t>The above comments suggest that:</w:t>
      </w:r>
    </w:p>
    <w:p w:rsidR="00FC46DC" w:rsidRDefault="00FC46DC" w:rsidP="00FC46DC">
      <w:pPr>
        <w:pStyle w:val="Bullet"/>
      </w:pPr>
      <w:r>
        <w:t>it is difficult to identify worthwhile opportunities for more efficient or effective service simply by counting the number of facilities in each area or comparing utilisation rates.</w:t>
      </w:r>
    </w:p>
    <w:p w:rsidR="00FC46DC" w:rsidRDefault="00FC46DC" w:rsidP="00FC46DC">
      <w:pPr>
        <w:pStyle w:val="Bullet"/>
      </w:pPr>
      <w:r>
        <w:t>demand for large event venues, sport and large cultural amenities, are all likely to have a regional as well as a local dimension. For those facilities where the regional demand is material it would be sensible to make decisions about future provision as if they were part of a portfolio</w:t>
      </w:r>
      <w:r>
        <w:rPr>
          <w:rStyle w:val="FootnoteReference"/>
        </w:rPr>
        <w:footnoteReference w:id="4"/>
      </w:r>
      <w:r>
        <w:t xml:space="preserve"> </w:t>
      </w:r>
    </w:p>
    <w:p w:rsidR="00A72766" w:rsidRDefault="000C29BC" w:rsidP="00A72766">
      <w:pPr>
        <w:pStyle w:val="Heading2"/>
      </w:pPr>
      <w:bookmarkStart w:id="16" w:name="_Toc397341753"/>
      <w:r>
        <w:t>Identifying a</w:t>
      </w:r>
      <w:r w:rsidR="00A72766">
        <w:t>reas for improvement</w:t>
      </w:r>
      <w:bookmarkEnd w:id="16"/>
    </w:p>
    <w:p w:rsidR="00ED6189" w:rsidRDefault="00FC46DC" w:rsidP="00FC46DC">
      <w:pPr>
        <w:pStyle w:val="BodyText"/>
      </w:pPr>
      <w:r>
        <w:t>Experiences to date such as the failure of councils to engage with the regional amenities fund and the positioning of the Wellington Region Sports Field Strategy as a guide to management rather than a regional strategy</w:t>
      </w:r>
      <w:r w:rsidR="00DA3461">
        <w:rPr>
          <w:rStyle w:val="FootnoteReference"/>
        </w:rPr>
        <w:footnoteReference w:id="5"/>
      </w:r>
      <w:r>
        <w:t xml:space="preserve"> suggest </w:t>
      </w:r>
      <w:r w:rsidR="00ED6189">
        <w:t>territorial authorities are reluctant to consider amenities outside their boundaries in making investment decisions.</w:t>
      </w:r>
    </w:p>
    <w:p w:rsidR="00FC46DC" w:rsidRDefault="00ED6189" w:rsidP="00FC46DC">
      <w:pPr>
        <w:pStyle w:val="BodyText"/>
      </w:pPr>
      <w:r>
        <w:t>M</w:t>
      </w:r>
      <w:r w:rsidR="00FC46DC">
        <w:t xml:space="preserve">ergers of councils may be necessary to encourage </w:t>
      </w:r>
      <w:r>
        <w:t xml:space="preserve">decision-makers to take a broader geographical view of the portfolio of assets they are managing. However </w:t>
      </w:r>
      <w:r w:rsidR="00FC46DC">
        <w:t>the effect of the merger options on how these services might be delivered in future would depend on:</w:t>
      </w:r>
    </w:p>
    <w:p w:rsidR="00FC46DC" w:rsidRDefault="00FC46DC" w:rsidP="00FC46DC">
      <w:pPr>
        <w:pStyle w:val="Bullet"/>
      </w:pPr>
      <w:r>
        <w:t>how the thinking of decision-makers about rationalising current and future provision would be changed by considering  geographically broader portfolios of diverse sporting or cultural facilities</w:t>
      </w:r>
    </w:p>
    <w:p w:rsidR="00FC46DC" w:rsidRDefault="00FC46DC" w:rsidP="00FC46DC">
      <w:pPr>
        <w:pStyle w:val="Bullet"/>
      </w:pPr>
      <w:r>
        <w:t xml:space="preserve">how successful decision-makers </w:t>
      </w:r>
      <w:r w:rsidR="00873524">
        <w:t>wer</w:t>
      </w:r>
      <w:r>
        <w:t>e in persuading local communities of the merits of rationalisation of facilities.</w:t>
      </w:r>
    </w:p>
    <w:p w:rsidR="00F0393E" w:rsidRDefault="00F0393E" w:rsidP="00F0393E">
      <w:pPr>
        <w:pStyle w:val="Heading2"/>
      </w:pPr>
      <w:bookmarkStart w:id="17" w:name="_Toc397341754"/>
      <w:r>
        <w:t xml:space="preserve">Comparison of </w:t>
      </w:r>
      <w:r w:rsidR="00115C17">
        <w:t>counci</w:t>
      </w:r>
      <w:r w:rsidR="008E1A57">
        <w:t>l</w:t>
      </w:r>
      <w:r w:rsidR="00115C17">
        <w:t xml:space="preserve"> </w:t>
      </w:r>
      <w:r>
        <w:t>spending</w:t>
      </w:r>
      <w:bookmarkEnd w:id="17"/>
    </w:p>
    <w:p w:rsidR="00115C17" w:rsidRDefault="00ED6189" w:rsidP="00115C17">
      <w:pPr>
        <w:pStyle w:val="BodyText"/>
      </w:pPr>
      <w:r>
        <w:t xml:space="preserve">In the following </w:t>
      </w:r>
      <w:r w:rsidR="00F0393E">
        <w:t xml:space="preserve">tables </w:t>
      </w:r>
      <w:r>
        <w:t>we provide examples of the available</w:t>
      </w:r>
      <w:r w:rsidR="005C0385">
        <w:rPr>
          <w:rStyle w:val="FootnoteReference"/>
        </w:rPr>
        <w:footnoteReference w:id="6"/>
      </w:r>
      <w:r>
        <w:t xml:space="preserve"> data on how councils fund sport and cultural activities and also their planned investment. Comparison of the data is limited by the different groupings of </w:t>
      </w:r>
      <w:r w:rsidR="00F0393E">
        <w:t xml:space="preserve">these </w:t>
      </w:r>
      <w:r>
        <w:t>services used by councils.</w:t>
      </w:r>
      <w:r w:rsidR="00115C17">
        <w:t xml:space="preserve"> </w:t>
      </w:r>
    </w:p>
    <w:p w:rsidR="00115C17" w:rsidRDefault="00115C17" w:rsidP="00115C17">
      <w:pPr>
        <w:pStyle w:val="BodyText"/>
      </w:pPr>
      <w:r>
        <w:t xml:space="preserve">The comparison of the operational spending </w:t>
      </w:r>
      <w:r w:rsidR="006307CC">
        <w:t xml:space="preserve">suggests </w:t>
      </w:r>
      <w:r>
        <w:t xml:space="preserve">that councils </w:t>
      </w:r>
      <w:r w:rsidR="006307CC">
        <w:t>adopt quite differ</w:t>
      </w:r>
      <w:r w:rsidR="00CD4DE2">
        <w:t>ent</w:t>
      </w:r>
      <w:r w:rsidR="006307CC">
        <w:t xml:space="preserve"> approaches to balancing the funding of these activities between rates fu</w:t>
      </w:r>
      <w:r w:rsidR="00CF4FAF">
        <w:t>n</w:t>
      </w:r>
      <w:r w:rsidR="00873524">
        <w:t>ding and funding f</w:t>
      </w:r>
      <w:r w:rsidR="006307CC">
        <w:t>r</w:t>
      </w:r>
      <w:r w:rsidR="00873524">
        <w:t>o</w:t>
      </w:r>
      <w:r w:rsidR="006307CC">
        <w:t>m other sources of revenue:</w:t>
      </w:r>
    </w:p>
    <w:p w:rsidR="006307CC" w:rsidRDefault="006307CC" w:rsidP="006307CC">
      <w:pPr>
        <w:pStyle w:val="Bullet"/>
      </w:pPr>
      <w:r>
        <w:t>for indoor recreation facilities and pools the use of non rates revenue ranges from 24 percent (Upper Hutt) to apparently almost 60 percent (Porirua)</w:t>
      </w:r>
    </w:p>
    <w:p w:rsidR="00CF4FAF" w:rsidRDefault="006307CC" w:rsidP="006307CC">
      <w:pPr>
        <w:pStyle w:val="Bullet"/>
      </w:pPr>
      <w:r>
        <w:t xml:space="preserve">for sports fields the use of non-rates revenue seems to vary from less than 10 percent (Porirua </w:t>
      </w:r>
      <w:r w:rsidR="00CF4FAF">
        <w:t xml:space="preserve">and Kapiti </w:t>
      </w:r>
      <w:r w:rsidR="007F4325">
        <w:t>Coast)</w:t>
      </w:r>
      <w:r w:rsidR="00CF4FAF">
        <w:t xml:space="preserve"> to more than 30 percent (Wellington City).</w:t>
      </w:r>
    </w:p>
    <w:p w:rsidR="006307CC" w:rsidRDefault="00CF4FAF" w:rsidP="00CF4FAF">
      <w:pPr>
        <w:pStyle w:val="BodyText"/>
      </w:pPr>
      <w:r>
        <w:t>The analysis of capital spending indicates that Wellington City accounts for the bulk of the planned investment in sporting and cultural facilities over the remainder of the long term plan period (2015 to 2022) in both new and replacement assets.</w:t>
      </w:r>
    </w:p>
    <w:p w:rsidR="00F3328F" w:rsidRDefault="005D3568" w:rsidP="00476E1F">
      <w:pPr>
        <w:pStyle w:val="BodyText"/>
      </w:pPr>
      <w:r>
        <w:t>Compari</w:t>
      </w:r>
      <w:r w:rsidR="00163069">
        <w:t>s</w:t>
      </w:r>
      <w:r>
        <w:t>ons</w:t>
      </w:r>
      <w:r w:rsidR="00163069">
        <w:t xml:space="preserve"> of per </w:t>
      </w:r>
      <w:r>
        <w:t>capita sport and cultural spending and planned investment need to be treated with caution because of the different classification used by councils. However, a</w:t>
      </w:r>
      <w:r w:rsidR="00C17407">
        <w:t xml:space="preserve">nalysis of per capita spending and planned investment showed a wide variation across both types of activity and councils, but did not indicate any systematic relationship </w:t>
      </w:r>
      <w:r w:rsidR="00476E1F">
        <w:t>between</w:t>
      </w:r>
      <w:r w:rsidR="00163069">
        <w:t xml:space="preserve"> the size of the population and the either planned spending or investment. Per capita spending and planned investment was higher for Wellington Ci</w:t>
      </w:r>
      <w:r w:rsidR="00476E1F">
        <w:t>ty than for the other councils which contrasts with the some of the comments we heard in interviews.</w:t>
      </w:r>
    </w:p>
    <w:p w:rsidR="00C12BB5" w:rsidRPr="00D42C90" w:rsidRDefault="00C12BB5" w:rsidP="00C12BB5">
      <w:pPr>
        <w:pStyle w:val="Caption"/>
      </w:pPr>
      <w:bookmarkStart w:id="18" w:name="_Toc397341760"/>
      <w:r>
        <w:t xml:space="preserve">Table </w:t>
      </w:r>
      <w:fldSimple w:instr=" SEQ Table \* ARABIC ">
        <w:r>
          <w:rPr>
            <w:noProof/>
          </w:rPr>
          <w:t>1</w:t>
        </w:r>
      </w:fldSimple>
      <w:r>
        <w:t xml:space="preserve"> </w:t>
      </w:r>
      <w:r w:rsidR="00FC77AC">
        <w:t>Sources of funding</w:t>
      </w:r>
      <w:bookmarkEnd w:id="18"/>
    </w:p>
    <w:p w:rsidR="00C12BB5" w:rsidRDefault="00FC77AC" w:rsidP="00C12BB5">
      <w:pPr>
        <w:pStyle w:val="Tablesubheading"/>
      </w:pPr>
      <w:r>
        <w:t>Forecast annual revenue for the year ended 30June 2014</w:t>
      </w:r>
    </w:p>
    <w:tbl>
      <w:tblPr>
        <w:tblStyle w:val="NZIERTable"/>
        <w:tblW w:w="8333" w:type="dxa"/>
        <w:tblLook w:val="04A0" w:firstRow="1" w:lastRow="0" w:firstColumn="1" w:lastColumn="0" w:noHBand="0" w:noVBand="1"/>
      </w:tblPr>
      <w:tblGrid>
        <w:gridCol w:w="1134"/>
        <w:gridCol w:w="3458"/>
        <w:gridCol w:w="1247"/>
        <w:gridCol w:w="1247"/>
        <w:gridCol w:w="1247"/>
      </w:tblGrid>
      <w:tr w:rsidR="00F3328F" w:rsidRPr="00E6399E" w:rsidTr="004879A1">
        <w:trPr>
          <w:cnfStyle w:val="100000000000" w:firstRow="1" w:lastRow="0" w:firstColumn="0" w:lastColumn="0" w:oddVBand="0" w:evenVBand="0" w:oddHBand="0" w:evenHBand="0" w:firstRowFirstColumn="0" w:firstRowLastColumn="0" w:lastRowFirstColumn="0" w:lastRowLastColumn="0"/>
          <w:trHeight w:val="1156"/>
        </w:trPr>
        <w:tc>
          <w:tcPr>
            <w:tcW w:w="1134" w:type="dxa"/>
          </w:tcPr>
          <w:p w:rsidR="00F3328F" w:rsidRPr="004D7536" w:rsidRDefault="00F3328F" w:rsidP="003979FE">
            <w:pPr>
              <w:rPr>
                <w:rFonts w:cstheme="minorHAnsi"/>
                <w:b/>
                <w:szCs w:val="18"/>
              </w:rPr>
            </w:pPr>
            <w:r>
              <w:rPr>
                <w:rFonts w:cstheme="minorHAnsi"/>
                <w:b/>
                <w:szCs w:val="18"/>
              </w:rPr>
              <w:t>Council</w:t>
            </w:r>
          </w:p>
        </w:tc>
        <w:tc>
          <w:tcPr>
            <w:tcW w:w="3458" w:type="dxa"/>
          </w:tcPr>
          <w:p w:rsidR="00F3328F" w:rsidRDefault="00F3328F" w:rsidP="00FC77AC">
            <w:pPr>
              <w:rPr>
                <w:rFonts w:cstheme="minorHAnsi"/>
                <w:b/>
                <w:szCs w:val="18"/>
              </w:rPr>
            </w:pPr>
            <w:r>
              <w:rPr>
                <w:rFonts w:cstheme="minorHAnsi"/>
                <w:b/>
                <w:szCs w:val="18"/>
              </w:rPr>
              <w:t>Expenditure type</w:t>
            </w:r>
          </w:p>
        </w:tc>
        <w:tc>
          <w:tcPr>
            <w:tcW w:w="1247" w:type="dxa"/>
          </w:tcPr>
          <w:p w:rsidR="00F3328F" w:rsidRPr="004D7536" w:rsidRDefault="00F3328F" w:rsidP="00FC77AC">
            <w:pPr>
              <w:rPr>
                <w:rFonts w:cstheme="minorHAnsi"/>
                <w:b/>
                <w:szCs w:val="18"/>
              </w:rPr>
            </w:pPr>
            <w:r>
              <w:rPr>
                <w:rFonts w:cstheme="minorHAnsi"/>
                <w:b/>
                <w:szCs w:val="18"/>
              </w:rPr>
              <w:t>User charges and other cost recovery</w:t>
            </w:r>
          </w:p>
        </w:tc>
        <w:tc>
          <w:tcPr>
            <w:tcW w:w="1247" w:type="dxa"/>
          </w:tcPr>
          <w:p w:rsidR="00F3328F" w:rsidRPr="004D7536" w:rsidRDefault="00F3328F" w:rsidP="00FC77AC">
            <w:pPr>
              <w:rPr>
                <w:rFonts w:cstheme="minorHAnsi"/>
                <w:b/>
                <w:szCs w:val="18"/>
              </w:rPr>
            </w:pPr>
            <w:r>
              <w:rPr>
                <w:rFonts w:cstheme="minorHAnsi"/>
                <w:b/>
                <w:szCs w:val="18"/>
              </w:rPr>
              <w:t>Maximum of total funding or expenditure</w:t>
            </w:r>
          </w:p>
        </w:tc>
        <w:tc>
          <w:tcPr>
            <w:tcW w:w="1247" w:type="dxa"/>
          </w:tcPr>
          <w:p w:rsidR="00F3328F" w:rsidRPr="004D7536" w:rsidRDefault="00F3328F" w:rsidP="006C5F86">
            <w:pPr>
              <w:rPr>
                <w:rFonts w:cstheme="minorHAnsi"/>
                <w:b/>
                <w:szCs w:val="18"/>
              </w:rPr>
            </w:pPr>
            <w:r>
              <w:rPr>
                <w:rFonts w:cstheme="minorHAnsi"/>
                <w:b/>
                <w:szCs w:val="18"/>
              </w:rPr>
              <w:t xml:space="preserve">User charges etc. </w:t>
            </w:r>
            <w:r w:rsidR="006C5F86">
              <w:rPr>
                <w:rFonts w:cstheme="minorHAnsi"/>
                <w:b/>
                <w:szCs w:val="18"/>
              </w:rPr>
              <w:t xml:space="preserve">share </w:t>
            </w:r>
            <w:r>
              <w:rPr>
                <w:rFonts w:cstheme="minorHAnsi"/>
                <w:b/>
                <w:szCs w:val="18"/>
              </w:rPr>
              <w:t xml:space="preserve"> of total funding or </w:t>
            </w:r>
            <w:r w:rsidR="006C5F86">
              <w:rPr>
                <w:rFonts w:cstheme="minorHAnsi"/>
                <w:b/>
                <w:szCs w:val="18"/>
              </w:rPr>
              <w:t>spending</w:t>
            </w:r>
          </w:p>
        </w:tc>
      </w:tr>
      <w:tr w:rsidR="006C5F86" w:rsidRPr="00E163F2" w:rsidTr="004879A1">
        <w:trPr>
          <w:trHeight w:val="283"/>
        </w:trPr>
        <w:tc>
          <w:tcPr>
            <w:tcW w:w="1134" w:type="dxa"/>
          </w:tcPr>
          <w:p w:rsidR="006C5F86" w:rsidRPr="006C5F86" w:rsidRDefault="006C5F86" w:rsidP="00EA5A10">
            <w:pPr>
              <w:pStyle w:val="Tabletext"/>
              <w:spacing w:after="0" w:line="60" w:lineRule="atLeast"/>
              <w:rPr>
                <w:b/>
              </w:rPr>
            </w:pPr>
            <w:r w:rsidRPr="006C5F86">
              <w:rPr>
                <w:b/>
              </w:rPr>
              <w:t xml:space="preserve">Wellington </w:t>
            </w:r>
          </w:p>
        </w:tc>
        <w:tc>
          <w:tcPr>
            <w:tcW w:w="3458" w:type="dxa"/>
          </w:tcPr>
          <w:p w:rsidR="006C5F86" w:rsidRPr="00396F86" w:rsidRDefault="006C5F86" w:rsidP="004209DF">
            <w:pPr>
              <w:spacing w:after="0"/>
            </w:pPr>
            <w:r w:rsidRPr="00396F86">
              <w:t>Gardens, beaches and green open spaces</w:t>
            </w:r>
          </w:p>
        </w:tc>
        <w:tc>
          <w:tcPr>
            <w:tcW w:w="1247" w:type="dxa"/>
          </w:tcPr>
          <w:p w:rsidR="006C5F86" w:rsidRPr="00CF61B6" w:rsidRDefault="006C5F86" w:rsidP="00EA5A10">
            <w:pPr>
              <w:spacing w:after="0"/>
              <w:jc w:val="right"/>
            </w:pPr>
            <w:r w:rsidRPr="00CF61B6">
              <w:t xml:space="preserve">7,122 </w:t>
            </w:r>
          </w:p>
        </w:tc>
        <w:tc>
          <w:tcPr>
            <w:tcW w:w="1247" w:type="dxa"/>
          </w:tcPr>
          <w:p w:rsidR="006C5F86" w:rsidRPr="00B344F7" w:rsidRDefault="006C5F86" w:rsidP="00EA5A10">
            <w:pPr>
              <w:spacing w:after="0"/>
              <w:jc w:val="right"/>
            </w:pPr>
            <w:r w:rsidRPr="00B344F7">
              <w:t xml:space="preserve">37,024 </w:t>
            </w:r>
          </w:p>
        </w:tc>
        <w:tc>
          <w:tcPr>
            <w:tcW w:w="1247" w:type="dxa"/>
            <w:vAlign w:val="bottom"/>
          </w:tcPr>
          <w:p w:rsidR="006C5F86" w:rsidRPr="006C5F86" w:rsidRDefault="006C5F86" w:rsidP="00EA5A10">
            <w:pPr>
              <w:spacing w:after="0"/>
              <w:jc w:val="right"/>
            </w:pPr>
            <w:r w:rsidRPr="006C5F86">
              <w:t>19%</w:t>
            </w:r>
          </w:p>
        </w:tc>
      </w:tr>
      <w:tr w:rsidR="006C5F86" w:rsidRPr="00E163F2" w:rsidTr="004879A1">
        <w:trPr>
          <w:trHeight w:val="283"/>
        </w:trPr>
        <w:tc>
          <w:tcPr>
            <w:tcW w:w="1134" w:type="dxa"/>
          </w:tcPr>
          <w:p w:rsidR="006C5F86" w:rsidRPr="00EA5A10" w:rsidRDefault="006C5F86" w:rsidP="00EA5A10">
            <w:pPr>
              <w:pStyle w:val="Tabletext"/>
              <w:spacing w:after="0" w:line="60" w:lineRule="atLeast"/>
              <w:rPr>
                <w:b/>
              </w:rPr>
            </w:pPr>
          </w:p>
        </w:tc>
        <w:tc>
          <w:tcPr>
            <w:tcW w:w="3458" w:type="dxa"/>
          </w:tcPr>
          <w:p w:rsidR="006C5F86" w:rsidRPr="00396F86" w:rsidRDefault="006C5F86" w:rsidP="004209DF">
            <w:pPr>
              <w:spacing w:after="0"/>
            </w:pPr>
            <w:r w:rsidRPr="00396F86">
              <w:t>Conservation attractions</w:t>
            </w:r>
          </w:p>
        </w:tc>
        <w:tc>
          <w:tcPr>
            <w:tcW w:w="1247" w:type="dxa"/>
          </w:tcPr>
          <w:p w:rsidR="006C5F86" w:rsidRPr="00CF61B6" w:rsidRDefault="006C5F86" w:rsidP="00EA5A10">
            <w:pPr>
              <w:spacing w:after="0"/>
              <w:jc w:val="right"/>
            </w:pPr>
          </w:p>
        </w:tc>
        <w:tc>
          <w:tcPr>
            <w:tcW w:w="1247" w:type="dxa"/>
          </w:tcPr>
          <w:p w:rsidR="006C5F86" w:rsidRPr="00B344F7" w:rsidRDefault="006C5F86" w:rsidP="00EA5A10">
            <w:pPr>
              <w:spacing w:after="0"/>
              <w:jc w:val="right"/>
            </w:pPr>
            <w:r w:rsidRPr="00B344F7">
              <w:t xml:space="preserve"> 5,751 </w:t>
            </w:r>
          </w:p>
        </w:tc>
        <w:tc>
          <w:tcPr>
            <w:tcW w:w="1247" w:type="dxa"/>
            <w:vAlign w:val="bottom"/>
          </w:tcPr>
          <w:p w:rsidR="006C5F86" w:rsidRPr="006C5F86" w:rsidRDefault="006C5F86" w:rsidP="00EA5A10">
            <w:pPr>
              <w:spacing w:after="0"/>
              <w:jc w:val="right"/>
            </w:pPr>
            <w:r w:rsidRPr="006C5F86">
              <w:t>0%</w:t>
            </w:r>
          </w:p>
        </w:tc>
      </w:tr>
      <w:tr w:rsidR="006C5F86" w:rsidRPr="00E163F2" w:rsidTr="004879A1">
        <w:trPr>
          <w:trHeight w:val="192"/>
        </w:trPr>
        <w:tc>
          <w:tcPr>
            <w:tcW w:w="1134" w:type="dxa"/>
          </w:tcPr>
          <w:p w:rsidR="006C5F86" w:rsidRPr="00EA5A10" w:rsidRDefault="006C5F86" w:rsidP="00EA5A10">
            <w:pPr>
              <w:pStyle w:val="Tabletext"/>
              <w:spacing w:after="0" w:line="60" w:lineRule="atLeast"/>
              <w:rPr>
                <w:b/>
              </w:rPr>
            </w:pPr>
          </w:p>
        </w:tc>
        <w:tc>
          <w:tcPr>
            <w:tcW w:w="3458" w:type="dxa"/>
          </w:tcPr>
          <w:p w:rsidR="006C5F86" w:rsidRPr="00396F86" w:rsidRDefault="006C5F86" w:rsidP="004209DF">
            <w:pPr>
              <w:spacing w:after="0"/>
            </w:pPr>
            <w:r w:rsidRPr="00396F86">
              <w:t>Arts and culture activities</w:t>
            </w:r>
          </w:p>
        </w:tc>
        <w:tc>
          <w:tcPr>
            <w:tcW w:w="1247" w:type="dxa"/>
          </w:tcPr>
          <w:p w:rsidR="006C5F86" w:rsidRPr="00CF61B6" w:rsidRDefault="006C5F86" w:rsidP="00EA5A10">
            <w:pPr>
              <w:spacing w:after="0"/>
              <w:jc w:val="right"/>
            </w:pPr>
            <w:r w:rsidRPr="00CF61B6">
              <w:t xml:space="preserve">1,241 </w:t>
            </w:r>
          </w:p>
        </w:tc>
        <w:tc>
          <w:tcPr>
            <w:tcW w:w="1247" w:type="dxa"/>
          </w:tcPr>
          <w:p w:rsidR="006C5F86" w:rsidRPr="00B344F7" w:rsidRDefault="006C5F86" w:rsidP="00EA5A10">
            <w:pPr>
              <w:spacing w:after="0"/>
              <w:jc w:val="right"/>
            </w:pPr>
            <w:r w:rsidRPr="00B344F7">
              <w:t xml:space="preserve">18,929 </w:t>
            </w:r>
          </w:p>
        </w:tc>
        <w:tc>
          <w:tcPr>
            <w:tcW w:w="1247" w:type="dxa"/>
            <w:vAlign w:val="bottom"/>
          </w:tcPr>
          <w:p w:rsidR="006C5F86" w:rsidRPr="006C5F86" w:rsidRDefault="006C5F86" w:rsidP="00EA5A10">
            <w:pPr>
              <w:spacing w:after="0"/>
              <w:jc w:val="right"/>
            </w:pPr>
            <w:r w:rsidRPr="006C5F86">
              <w:t>7%</w:t>
            </w:r>
          </w:p>
        </w:tc>
      </w:tr>
      <w:tr w:rsidR="006C5F86" w:rsidRPr="00E163F2" w:rsidTr="004879A1">
        <w:trPr>
          <w:trHeight w:val="283"/>
        </w:trPr>
        <w:tc>
          <w:tcPr>
            <w:tcW w:w="1134" w:type="dxa"/>
          </w:tcPr>
          <w:p w:rsidR="006C5F86" w:rsidRPr="00EA5A10" w:rsidRDefault="006C5F86" w:rsidP="00EA5A10">
            <w:pPr>
              <w:pStyle w:val="Tabletext"/>
              <w:spacing w:after="0" w:line="60" w:lineRule="atLeast"/>
              <w:rPr>
                <w:b/>
              </w:rPr>
            </w:pPr>
          </w:p>
        </w:tc>
        <w:tc>
          <w:tcPr>
            <w:tcW w:w="3458" w:type="dxa"/>
          </w:tcPr>
          <w:p w:rsidR="006C5F86" w:rsidRPr="00396F86" w:rsidRDefault="006C5F86" w:rsidP="004209DF">
            <w:pPr>
              <w:spacing w:after="0"/>
            </w:pPr>
            <w:r>
              <w:t>R</w:t>
            </w:r>
            <w:r w:rsidRPr="00396F86">
              <w:t>ecreation promotion and support</w:t>
            </w:r>
          </w:p>
        </w:tc>
        <w:tc>
          <w:tcPr>
            <w:tcW w:w="1247" w:type="dxa"/>
          </w:tcPr>
          <w:p w:rsidR="006C5F86" w:rsidRPr="00CF61B6" w:rsidRDefault="006C5F86" w:rsidP="00EA5A10">
            <w:pPr>
              <w:spacing w:after="0"/>
              <w:jc w:val="right"/>
            </w:pPr>
            <w:r w:rsidRPr="00CF61B6">
              <w:t xml:space="preserve">13,159 </w:t>
            </w:r>
          </w:p>
        </w:tc>
        <w:tc>
          <w:tcPr>
            <w:tcW w:w="1247" w:type="dxa"/>
          </w:tcPr>
          <w:p w:rsidR="006C5F86" w:rsidRPr="00B344F7" w:rsidRDefault="006C5F86" w:rsidP="00EA5A10">
            <w:pPr>
              <w:spacing w:after="0"/>
              <w:jc w:val="right"/>
            </w:pPr>
            <w:r w:rsidRPr="00B344F7">
              <w:t xml:space="preserve">38,529 </w:t>
            </w:r>
          </w:p>
        </w:tc>
        <w:tc>
          <w:tcPr>
            <w:tcW w:w="1247" w:type="dxa"/>
            <w:vAlign w:val="bottom"/>
          </w:tcPr>
          <w:p w:rsidR="006C5F86" w:rsidRPr="006C5F86" w:rsidRDefault="006C5F86" w:rsidP="00EA5A10">
            <w:pPr>
              <w:spacing w:after="0"/>
              <w:jc w:val="right"/>
            </w:pPr>
            <w:r w:rsidRPr="006C5F86">
              <w:t>34%</w:t>
            </w:r>
          </w:p>
        </w:tc>
      </w:tr>
      <w:tr w:rsidR="006C5F86" w:rsidRPr="00E163F2" w:rsidTr="004879A1">
        <w:trPr>
          <w:trHeight w:val="283"/>
        </w:trPr>
        <w:tc>
          <w:tcPr>
            <w:tcW w:w="1134" w:type="dxa"/>
          </w:tcPr>
          <w:p w:rsidR="006C5F86" w:rsidRPr="00EA5A10" w:rsidRDefault="006C5F86" w:rsidP="00EA5A10">
            <w:pPr>
              <w:pStyle w:val="Tabletext"/>
              <w:spacing w:after="0" w:line="60" w:lineRule="atLeast"/>
              <w:rPr>
                <w:b/>
              </w:rPr>
            </w:pPr>
          </w:p>
        </w:tc>
        <w:tc>
          <w:tcPr>
            <w:tcW w:w="3458" w:type="dxa"/>
          </w:tcPr>
          <w:p w:rsidR="006C5F86" w:rsidRPr="00396F86" w:rsidRDefault="004209DF" w:rsidP="004209DF">
            <w:pPr>
              <w:spacing w:after="0"/>
            </w:pPr>
            <w:r>
              <w:t>C</w:t>
            </w:r>
            <w:r w:rsidR="006C5F86" w:rsidRPr="00396F86">
              <w:t>ommunity support</w:t>
            </w:r>
          </w:p>
        </w:tc>
        <w:tc>
          <w:tcPr>
            <w:tcW w:w="1247" w:type="dxa"/>
          </w:tcPr>
          <w:p w:rsidR="006C5F86" w:rsidRPr="00CF61B6" w:rsidRDefault="006C5F86" w:rsidP="00EA5A10">
            <w:pPr>
              <w:spacing w:after="0"/>
              <w:jc w:val="right"/>
            </w:pPr>
            <w:r w:rsidRPr="00CF61B6">
              <w:t xml:space="preserve">20,997 </w:t>
            </w:r>
          </w:p>
        </w:tc>
        <w:tc>
          <w:tcPr>
            <w:tcW w:w="1247" w:type="dxa"/>
          </w:tcPr>
          <w:p w:rsidR="006C5F86" w:rsidRPr="00B344F7" w:rsidRDefault="006C5F86" w:rsidP="00EA5A10">
            <w:pPr>
              <w:spacing w:after="0"/>
              <w:jc w:val="right"/>
            </w:pPr>
            <w:r w:rsidRPr="00B344F7">
              <w:t xml:space="preserve">48,940 </w:t>
            </w:r>
          </w:p>
        </w:tc>
        <w:tc>
          <w:tcPr>
            <w:tcW w:w="1247" w:type="dxa"/>
            <w:vAlign w:val="bottom"/>
          </w:tcPr>
          <w:p w:rsidR="006C5F86" w:rsidRPr="006C5F86" w:rsidRDefault="006C5F86" w:rsidP="00EA5A10">
            <w:pPr>
              <w:spacing w:after="0"/>
              <w:jc w:val="right"/>
            </w:pPr>
            <w:r w:rsidRPr="006C5F86">
              <w:t>43%</w:t>
            </w:r>
          </w:p>
        </w:tc>
      </w:tr>
      <w:tr w:rsidR="006C5F86" w:rsidRPr="00E163F2" w:rsidTr="004879A1">
        <w:trPr>
          <w:trHeight w:val="283"/>
        </w:trPr>
        <w:tc>
          <w:tcPr>
            <w:tcW w:w="1134" w:type="dxa"/>
          </w:tcPr>
          <w:p w:rsidR="006C5F86" w:rsidRPr="00EA5A10" w:rsidRDefault="006C5F86" w:rsidP="00EA5A10">
            <w:pPr>
              <w:pStyle w:val="Tabletext"/>
              <w:spacing w:after="0" w:line="60" w:lineRule="atLeast"/>
              <w:rPr>
                <w:b/>
              </w:rPr>
            </w:pPr>
          </w:p>
        </w:tc>
        <w:tc>
          <w:tcPr>
            <w:tcW w:w="3458" w:type="dxa"/>
          </w:tcPr>
          <w:p w:rsidR="006C5F86" w:rsidRDefault="006C5F86" w:rsidP="004209DF">
            <w:pPr>
              <w:spacing w:after="0"/>
            </w:pPr>
            <w:r w:rsidRPr="00396F86">
              <w:t>Urban planning, heritage and public spaces</w:t>
            </w:r>
          </w:p>
        </w:tc>
        <w:tc>
          <w:tcPr>
            <w:tcW w:w="1247" w:type="dxa"/>
          </w:tcPr>
          <w:p w:rsidR="006C5F86" w:rsidRDefault="006C5F86" w:rsidP="00EA5A10">
            <w:pPr>
              <w:spacing w:after="0"/>
              <w:jc w:val="right"/>
            </w:pPr>
            <w:r w:rsidRPr="00CF61B6">
              <w:t xml:space="preserve">21 </w:t>
            </w:r>
          </w:p>
        </w:tc>
        <w:tc>
          <w:tcPr>
            <w:tcW w:w="1247" w:type="dxa"/>
          </w:tcPr>
          <w:p w:rsidR="006C5F86" w:rsidRDefault="006C5F86" w:rsidP="00EA5A10">
            <w:pPr>
              <w:spacing w:after="0"/>
              <w:jc w:val="right"/>
            </w:pPr>
            <w:r w:rsidRPr="00B344F7">
              <w:t xml:space="preserve">7,180 </w:t>
            </w:r>
          </w:p>
        </w:tc>
        <w:tc>
          <w:tcPr>
            <w:tcW w:w="1247" w:type="dxa"/>
            <w:vAlign w:val="bottom"/>
          </w:tcPr>
          <w:p w:rsidR="006C5F86" w:rsidRPr="006C5F86" w:rsidRDefault="006C5F86" w:rsidP="00EA5A10">
            <w:pPr>
              <w:spacing w:after="0"/>
              <w:jc w:val="right"/>
            </w:pPr>
            <w:r w:rsidRPr="006C5F86">
              <w:t>0%</w:t>
            </w:r>
          </w:p>
        </w:tc>
      </w:tr>
      <w:tr w:rsidR="006C5F86" w:rsidRPr="00E163F2" w:rsidTr="004879A1">
        <w:trPr>
          <w:trHeight w:val="283"/>
        </w:trPr>
        <w:tc>
          <w:tcPr>
            <w:tcW w:w="1134" w:type="dxa"/>
          </w:tcPr>
          <w:p w:rsidR="006C5F86" w:rsidRPr="00EA5A10" w:rsidRDefault="006C5F86" w:rsidP="00EA5A10">
            <w:pPr>
              <w:pStyle w:val="Tabletext"/>
              <w:spacing w:after="0" w:line="60" w:lineRule="atLeast"/>
              <w:rPr>
                <w:b/>
              </w:rPr>
            </w:pPr>
          </w:p>
        </w:tc>
        <w:tc>
          <w:tcPr>
            <w:tcW w:w="3458" w:type="dxa"/>
          </w:tcPr>
          <w:p w:rsidR="006C5F86" w:rsidRPr="00EA5A10" w:rsidRDefault="006C5F86" w:rsidP="004209DF">
            <w:pPr>
              <w:spacing w:after="0" w:line="120" w:lineRule="atLeast"/>
              <w:rPr>
                <w:b/>
              </w:rPr>
            </w:pPr>
            <w:r w:rsidRPr="00EA5A10">
              <w:rPr>
                <w:b/>
              </w:rPr>
              <w:t xml:space="preserve">Total </w:t>
            </w:r>
          </w:p>
        </w:tc>
        <w:tc>
          <w:tcPr>
            <w:tcW w:w="1247" w:type="dxa"/>
          </w:tcPr>
          <w:p w:rsidR="006C5F86" w:rsidRPr="00EA5A10" w:rsidRDefault="006C5F86" w:rsidP="004209DF">
            <w:pPr>
              <w:spacing w:after="0"/>
              <w:jc w:val="right"/>
              <w:rPr>
                <w:b/>
              </w:rPr>
            </w:pPr>
            <w:r w:rsidRPr="00EA5A10">
              <w:rPr>
                <w:b/>
              </w:rPr>
              <w:t>42,540</w:t>
            </w:r>
          </w:p>
        </w:tc>
        <w:tc>
          <w:tcPr>
            <w:tcW w:w="1247" w:type="dxa"/>
          </w:tcPr>
          <w:p w:rsidR="006C5F86" w:rsidRPr="00EA5A10" w:rsidRDefault="006C5F86" w:rsidP="004209DF">
            <w:pPr>
              <w:spacing w:after="0"/>
              <w:jc w:val="right"/>
              <w:rPr>
                <w:b/>
              </w:rPr>
            </w:pPr>
            <w:r w:rsidRPr="00EA5A10">
              <w:rPr>
                <w:b/>
              </w:rPr>
              <w:t>156,353</w:t>
            </w:r>
          </w:p>
        </w:tc>
        <w:tc>
          <w:tcPr>
            <w:tcW w:w="1247" w:type="dxa"/>
          </w:tcPr>
          <w:p w:rsidR="006C5F86" w:rsidRPr="00EA5A10" w:rsidRDefault="006C5F86" w:rsidP="004209DF">
            <w:pPr>
              <w:spacing w:after="0"/>
              <w:jc w:val="right"/>
              <w:rPr>
                <w:b/>
              </w:rPr>
            </w:pPr>
            <w:r w:rsidRPr="00EA5A10">
              <w:rPr>
                <w:b/>
              </w:rPr>
              <w:t>27%</w:t>
            </w:r>
          </w:p>
        </w:tc>
      </w:tr>
      <w:tr w:rsidR="006C5F86" w:rsidRPr="00E163F2" w:rsidTr="004879A1">
        <w:trPr>
          <w:trHeight w:val="283"/>
        </w:trPr>
        <w:tc>
          <w:tcPr>
            <w:tcW w:w="1134" w:type="dxa"/>
          </w:tcPr>
          <w:p w:rsidR="00F3328F" w:rsidRPr="00EA5A10" w:rsidRDefault="00F3328F" w:rsidP="00EA5A10">
            <w:pPr>
              <w:pStyle w:val="Tabletext"/>
              <w:spacing w:after="0" w:line="60" w:lineRule="atLeast"/>
              <w:rPr>
                <w:b/>
              </w:rPr>
            </w:pPr>
          </w:p>
        </w:tc>
        <w:tc>
          <w:tcPr>
            <w:tcW w:w="3458" w:type="dxa"/>
          </w:tcPr>
          <w:p w:rsidR="00F3328F" w:rsidRPr="00F90AA7" w:rsidRDefault="00F3328F" w:rsidP="00EA5A10">
            <w:pPr>
              <w:pStyle w:val="Tabletext"/>
              <w:spacing w:after="0"/>
            </w:pPr>
          </w:p>
        </w:tc>
        <w:tc>
          <w:tcPr>
            <w:tcW w:w="1247" w:type="dxa"/>
          </w:tcPr>
          <w:p w:rsidR="00F3328F" w:rsidRPr="00F90AA7" w:rsidRDefault="00F3328F" w:rsidP="004209DF">
            <w:pPr>
              <w:pStyle w:val="Tabletext"/>
              <w:spacing w:after="0"/>
              <w:jc w:val="right"/>
            </w:pPr>
          </w:p>
        </w:tc>
        <w:tc>
          <w:tcPr>
            <w:tcW w:w="1247" w:type="dxa"/>
          </w:tcPr>
          <w:p w:rsidR="00F3328F" w:rsidRPr="00F90AA7" w:rsidRDefault="00F3328F" w:rsidP="004209DF">
            <w:pPr>
              <w:pStyle w:val="Tabletext"/>
              <w:spacing w:after="0"/>
              <w:jc w:val="right"/>
            </w:pPr>
          </w:p>
        </w:tc>
        <w:tc>
          <w:tcPr>
            <w:tcW w:w="1247" w:type="dxa"/>
          </w:tcPr>
          <w:p w:rsidR="00F3328F" w:rsidRPr="00F90AA7" w:rsidRDefault="00F3328F" w:rsidP="004209DF">
            <w:pPr>
              <w:pStyle w:val="Tabletext"/>
              <w:spacing w:after="0"/>
              <w:jc w:val="right"/>
            </w:pPr>
          </w:p>
        </w:tc>
      </w:tr>
      <w:tr w:rsidR="004209DF" w:rsidRPr="00E163F2" w:rsidTr="004879A1">
        <w:trPr>
          <w:trHeight w:val="283"/>
        </w:trPr>
        <w:tc>
          <w:tcPr>
            <w:tcW w:w="1134" w:type="dxa"/>
          </w:tcPr>
          <w:p w:rsidR="004209DF" w:rsidRPr="00411B84" w:rsidRDefault="004209DF" w:rsidP="004209DF">
            <w:pPr>
              <w:pStyle w:val="Tabletext"/>
              <w:spacing w:before="0" w:after="0"/>
              <w:rPr>
                <w:b/>
              </w:rPr>
            </w:pPr>
            <w:r w:rsidRPr="00411B84">
              <w:rPr>
                <w:b/>
              </w:rPr>
              <w:t>Lower Hutt</w:t>
            </w:r>
          </w:p>
        </w:tc>
        <w:tc>
          <w:tcPr>
            <w:tcW w:w="3458" w:type="dxa"/>
          </w:tcPr>
          <w:p w:rsidR="004209DF" w:rsidRPr="0076492E" w:rsidRDefault="004209DF" w:rsidP="004209DF">
            <w:pPr>
              <w:spacing w:before="0" w:after="0"/>
            </w:pPr>
            <w:r w:rsidRPr="0076492E">
              <w:t>Libraries</w:t>
            </w:r>
          </w:p>
        </w:tc>
        <w:tc>
          <w:tcPr>
            <w:tcW w:w="1247" w:type="dxa"/>
          </w:tcPr>
          <w:p w:rsidR="004209DF" w:rsidRPr="002172FD" w:rsidRDefault="004209DF" w:rsidP="004209DF">
            <w:pPr>
              <w:pStyle w:val="Tabletext"/>
              <w:spacing w:after="0"/>
              <w:jc w:val="right"/>
            </w:pPr>
            <w:r w:rsidRPr="002172FD">
              <w:t xml:space="preserve">836 </w:t>
            </w:r>
          </w:p>
        </w:tc>
        <w:tc>
          <w:tcPr>
            <w:tcW w:w="1247" w:type="dxa"/>
          </w:tcPr>
          <w:p w:rsidR="004209DF" w:rsidRPr="00D32776" w:rsidRDefault="004209DF" w:rsidP="004209DF">
            <w:pPr>
              <w:spacing w:before="0"/>
              <w:jc w:val="right"/>
            </w:pPr>
            <w:r w:rsidRPr="00D32776">
              <w:t xml:space="preserve">8,741 </w:t>
            </w:r>
          </w:p>
        </w:tc>
        <w:tc>
          <w:tcPr>
            <w:tcW w:w="1247" w:type="dxa"/>
          </w:tcPr>
          <w:p w:rsidR="004209DF" w:rsidRPr="00BD4934" w:rsidRDefault="004209DF" w:rsidP="004209DF">
            <w:pPr>
              <w:spacing w:before="0"/>
              <w:jc w:val="right"/>
            </w:pPr>
            <w:r w:rsidRPr="00BD4934">
              <w:t>10%</w:t>
            </w:r>
          </w:p>
        </w:tc>
      </w:tr>
      <w:tr w:rsidR="004209DF" w:rsidRPr="00EA5A10" w:rsidTr="004879A1">
        <w:trPr>
          <w:trHeight w:val="196"/>
        </w:trPr>
        <w:tc>
          <w:tcPr>
            <w:tcW w:w="1134" w:type="dxa"/>
          </w:tcPr>
          <w:p w:rsidR="004209DF" w:rsidRPr="004209DF" w:rsidRDefault="004209DF" w:rsidP="004209DF">
            <w:pPr>
              <w:pStyle w:val="Tabletext"/>
              <w:spacing w:before="0" w:after="0" w:line="60" w:lineRule="atLeast"/>
              <w:rPr>
                <w:b/>
              </w:rPr>
            </w:pPr>
          </w:p>
        </w:tc>
        <w:tc>
          <w:tcPr>
            <w:tcW w:w="3458" w:type="dxa"/>
          </w:tcPr>
          <w:p w:rsidR="004209DF" w:rsidRPr="0076492E" w:rsidRDefault="004209DF" w:rsidP="004209DF">
            <w:pPr>
              <w:spacing w:before="0" w:after="0"/>
            </w:pPr>
            <w:r w:rsidRPr="0076492E">
              <w:t>Museums</w:t>
            </w:r>
          </w:p>
        </w:tc>
        <w:tc>
          <w:tcPr>
            <w:tcW w:w="1247" w:type="dxa"/>
          </w:tcPr>
          <w:p w:rsidR="004209DF" w:rsidRPr="002172FD" w:rsidRDefault="004209DF" w:rsidP="004209DF">
            <w:pPr>
              <w:pStyle w:val="Tabletext"/>
              <w:spacing w:after="0"/>
              <w:jc w:val="right"/>
            </w:pPr>
            <w:r w:rsidRPr="002172FD">
              <w:t xml:space="preserve">802 </w:t>
            </w:r>
          </w:p>
        </w:tc>
        <w:tc>
          <w:tcPr>
            <w:tcW w:w="1247" w:type="dxa"/>
          </w:tcPr>
          <w:p w:rsidR="004209DF" w:rsidRPr="00D32776" w:rsidRDefault="004209DF" w:rsidP="004209DF">
            <w:pPr>
              <w:spacing w:before="0"/>
              <w:jc w:val="right"/>
            </w:pPr>
            <w:r w:rsidRPr="00D32776">
              <w:t xml:space="preserve"> 3,812 </w:t>
            </w:r>
          </w:p>
        </w:tc>
        <w:tc>
          <w:tcPr>
            <w:tcW w:w="1247" w:type="dxa"/>
          </w:tcPr>
          <w:p w:rsidR="004209DF" w:rsidRPr="00BD4934" w:rsidRDefault="004209DF" w:rsidP="004209DF">
            <w:pPr>
              <w:spacing w:before="0"/>
              <w:jc w:val="right"/>
            </w:pPr>
            <w:r w:rsidRPr="00BD4934">
              <w:t>21%</w:t>
            </w:r>
          </w:p>
        </w:tc>
      </w:tr>
      <w:tr w:rsidR="004209DF" w:rsidRPr="00E163F2" w:rsidTr="004879A1">
        <w:trPr>
          <w:trHeight w:val="283"/>
        </w:trPr>
        <w:tc>
          <w:tcPr>
            <w:tcW w:w="1134" w:type="dxa"/>
          </w:tcPr>
          <w:p w:rsidR="004209DF" w:rsidRPr="004209DF" w:rsidRDefault="004209DF" w:rsidP="004209DF">
            <w:pPr>
              <w:pStyle w:val="Tabletext"/>
              <w:spacing w:before="0" w:after="0" w:line="60" w:lineRule="atLeast"/>
              <w:rPr>
                <w:b/>
              </w:rPr>
            </w:pPr>
          </w:p>
        </w:tc>
        <w:tc>
          <w:tcPr>
            <w:tcW w:w="3458" w:type="dxa"/>
          </w:tcPr>
          <w:p w:rsidR="004209DF" w:rsidRPr="0076492E" w:rsidRDefault="004209DF" w:rsidP="004209DF">
            <w:pPr>
              <w:spacing w:before="0" w:after="0"/>
            </w:pPr>
            <w:r w:rsidRPr="0076492E">
              <w:t>Aquatics and recreation</w:t>
            </w:r>
          </w:p>
        </w:tc>
        <w:tc>
          <w:tcPr>
            <w:tcW w:w="1247" w:type="dxa"/>
          </w:tcPr>
          <w:p w:rsidR="004209DF" w:rsidRPr="002172FD" w:rsidRDefault="004209DF" w:rsidP="004209DF">
            <w:pPr>
              <w:pStyle w:val="Tabletext"/>
              <w:spacing w:after="0"/>
              <w:jc w:val="right"/>
            </w:pPr>
            <w:r w:rsidRPr="002172FD">
              <w:t xml:space="preserve">4,432 </w:t>
            </w:r>
          </w:p>
        </w:tc>
        <w:tc>
          <w:tcPr>
            <w:tcW w:w="1247" w:type="dxa"/>
          </w:tcPr>
          <w:p w:rsidR="004209DF" w:rsidRPr="00D32776" w:rsidRDefault="004209DF" w:rsidP="004209DF">
            <w:pPr>
              <w:spacing w:before="0"/>
              <w:jc w:val="right"/>
            </w:pPr>
            <w:r w:rsidRPr="00D32776">
              <w:t xml:space="preserve">10,370 </w:t>
            </w:r>
          </w:p>
        </w:tc>
        <w:tc>
          <w:tcPr>
            <w:tcW w:w="1247" w:type="dxa"/>
          </w:tcPr>
          <w:p w:rsidR="004209DF" w:rsidRPr="00BD4934" w:rsidRDefault="004209DF" w:rsidP="004209DF">
            <w:pPr>
              <w:spacing w:before="0"/>
              <w:jc w:val="right"/>
            </w:pPr>
            <w:r w:rsidRPr="00BD4934">
              <w:t>43%</w:t>
            </w:r>
          </w:p>
        </w:tc>
      </w:tr>
      <w:tr w:rsidR="004209DF" w:rsidRPr="00E163F2" w:rsidTr="004879A1">
        <w:trPr>
          <w:trHeight w:val="283"/>
        </w:trPr>
        <w:tc>
          <w:tcPr>
            <w:tcW w:w="1134" w:type="dxa"/>
          </w:tcPr>
          <w:p w:rsidR="004209DF" w:rsidRPr="004209DF" w:rsidRDefault="004209DF" w:rsidP="004209DF">
            <w:pPr>
              <w:pStyle w:val="Tabletext"/>
              <w:spacing w:before="0" w:after="0" w:line="60" w:lineRule="atLeast"/>
              <w:rPr>
                <w:b/>
              </w:rPr>
            </w:pPr>
          </w:p>
        </w:tc>
        <w:tc>
          <w:tcPr>
            <w:tcW w:w="3458" w:type="dxa"/>
          </w:tcPr>
          <w:p w:rsidR="004209DF" w:rsidRPr="0076492E" w:rsidRDefault="004209DF" w:rsidP="004209DF">
            <w:pPr>
              <w:spacing w:before="0" w:after="0"/>
            </w:pPr>
            <w:r w:rsidRPr="0076492E">
              <w:t>Parks and Reserves</w:t>
            </w:r>
          </w:p>
        </w:tc>
        <w:tc>
          <w:tcPr>
            <w:tcW w:w="1247" w:type="dxa"/>
          </w:tcPr>
          <w:p w:rsidR="004209DF" w:rsidRPr="002172FD" w:rsidRDefault="004209DF" w:rsidP="004209DF">
            <w:pPr>
              <w:pStyle w:val="Tabletext"/>
              <w:spacing w:after="0"/>
              <w:jc w:val="right"/>
            </w:pPr>
            <w:r w:rsidRPr="002172FD">
              <w:t xml:space="preserve">2,045 </w:t>
            </w:r>
          </w:p>
        </w:tc>
        <w:tc>
          <w:tcPr>
            <w:tcW w:w="1247" w:type="dxa"/>
          </w:tcPr>
          <w:p w:rsidR="004209DF" w:rsidRPr="00D32776" w:rsidRDefault="004209DF" w:rsidP="004209DF">
            <w:pPr>
              <w:spacing w:before="0"/>
              <w:jc w:val="right"/>
            </w:pPr>
            <w:r w:rsidRPr="00D32776">
              <w:t xml:space="preserve">12,233 </w:t>
            </w:r>
          </w:p>
        </w:tc>
        <w:tc>
          <w:tcPr>
            <w:tcW w:w="1247" w:type="dxa"/>
          </w:tcPr>
          <w:p w:rsidR="004209DF" w:rsidRPr="00BD4934" w:rsidRDefault="004209DF" w:rsidP="004209DF">
            <w:pPr>
              <w:spacing w:before="0"/>
              <w:jc w:val="right"/>
            </w:pPr>
            <w:r w:rsidRPr="00BD4934">
              <w:t>17%</w:t>
            </w:r>
          </w:p>
        </w:tc>
      </w:tr>
      <w:tr w:rsidR="004209DF" w:rsidRPr="00E163F2" w:rsidTr="004879A1">
        <w:trPr>
          <w:trHeight w:val="283"/>
        </w:trPr>
        <w:tc>
          <w:tcPr>
            <w:tcW w:w="1134" w:type="dxa"/>
          </w:tcPr>
          <w:p w:rsidR="004209DF" w:rsidRPr="004209DF" w:rsidRDefault="004209DF" w:rsidP="004209DF">
            <w:pPr>
              <w:pStyle w:val="Tabletext"/>
              <w:spacing w:before="0" w:after="0" w:line="60" w:lineRule="atLeast"/>
              <w:rPr>
                <w:b/>
              </w:rPr>
            </w:pPr>
          </w:p>
        </w:tc>
        <w:tc>
          <w:tcPr>
            <w:tcW w:w="3458" w:type="dxa"/>
          </w:tcPr>
          <w:p w:rsidR="004209DF" w:rsidRDefault="004209DF" w:rsidP="004209DF">
            <w:pPr>
              <w:spacing w:before="0" w:after="0"/>
            </w:pPr>
            <w:r w:rsidRPr="0076492E">
              <w:t>Community Development</w:t>
            </w:r>
          </w:p>
        </w:tc>
        <w:tc>
          <w:tcPr>
            <w:tcW w:w="1247" w:type="dxa"/>
          </w:tcPr>
          <w:p w:rsidR="004209DF" w:rsidRPr="002172FD" w:rsidRDefault="004209DF" w:rsidP="004209DF">
            <w:pPr>
              <w:pStyle w:val="Tabletext"/>
              <w:spacing w:after="0"/>
              <w:jc w:val="right"/>
            </w:pPr>
            <w:r w:rsidRPr="002172FD">
              <w:t xml:space="preserve">147 </w:t>
            </w:r>
          </w:p>
        </w:tc>
        <w:tc>
          <w:tcPr>
            <w:tcW w:w="1247" w:type="dxa"/>
          </w:tcPr>
          <w:p w:rsidR="004209DF" w:rsidRPr="00D32776" w:rsidRDefault="004209DF" w:rsidP="004209DF">
            <w:pPr>
              <w:spacing w:before="0"/>
              <w:jc w:val="right"/>
            </w:pPr>
            <w:r w:rsidRPr="00D32776">
              <w:t xml:space="preserve">3,363 </w:t>
            </w:r>
          </w:p>
        </w:tc>
        <w:tc>
          <w:tcPr>
            <w:tcW w:w="1247" w:type="dxa"/>
          </w:tcPr>
          <w:p w:rsidR="004209DF" w:rsidRPr="00BD4934" w:rsidRDefault="004209DF" w:rsidP="004209DF">
            <w:pPr>
              <w:spacing w:before="0"/>
              <w:jc w:val="right"/>
            </w:pPr>
            <w:r w:rsidRPr="00BD4934">
              <w:t>4%</w:t>
            </w:r>
          </w:p>
        </w:tc>
      </w:tr>
      <w:tr w:rsidR="004209DF" w:rsidRPr="00E163F2" w:rsidTr="004879A1">
        <w:trPr>
          <w:trHeight w:val="283"/>
        </w:trPr>
        <w:tc>
          <w:tcPr>
            <w:tcW w:w="1134" w:type="dxa"/>
          </w:tcPr>
          <w:p w:rsidR="004209DF" w:rsidRPr="004209DF" w:rsidRDefault="004209DF" w:rsidP="004209DF">
            <w:pPr>
              <w:pStyle w:val="Tabletext"/>
              <w:spacing w:before="0" w:after="0" w:line="60" w:lineRule="atLeast"/>
              <w:rPr>
                <w:b/>
              </w:rPr>
            </w:pPr>
          </w:p>
        </w:tc>
        <w:tc>
          <w:tcPr>
            <w:tcW w:w="3458" w:type="dxa"/>
          </w:tcPr>
          <w:p w:rsidR="004209DF" w:rsidRPr="004209DF" w:rsidRDefault="004209DF" w:rsidP="004209DF">
            <w:pPr>
              <w:pStyle w:val="Tabletext"/>
              <w:spacing w:before="0" w:after="0" w:line="60" w:lineRule="atLeast"/>
              <w:rPr>
                <w:b/>
              </w:rPr>
            </w:pPr>
            <w:r w:rsidRPr="00EA5A10">
              <w:rPr>
                <w:b/>
              </w:rPr>
              <w:t>Total</w:t>
            </w:r>
          </w:p>
        </w:tc>
        <w:tc>
          <w:tcPr>
            <w:tcW w:w="1247" w:type="dxa"/>
          </w:tcPr>
          <w:p w:rsidR="004209DF" w:rsidRPr="004209DF" w:rsidRDefault="004209DF" w:rsidP="004209DF">
            <w:pPr>
              <w:spacing w:before="0" w:after="0" w:line="60" w:lineRule="atLeast"/>
              <w:jc w:val="right"/>
              <w:rPr>
                <w:b/>
                <w:kern w:val="20"/>
                <w:szCs w:val="18"/>
                <w:lang w:eastAsia="en-US"/>
              </w:rPr>
            </w:pPr>
            <w:r w:rsidRPr="004209DF">
              <w:rPr>
                <w:b/>
                <w:kern w:val="20"/>
                <w:szCs w:val="18"/>
                <w:lang w:eastAsia="en-US"/>
              </w:rPr>
              <w:t>8,262</w:t>
            </w:r>
          </w:p>
        </w:tc>
        <w:tc>
          <w:tcPr>
            <w:tcW w:w="1247" w:type="dxa"/>
          </w:tcPr>
          <w:p w:rsidR="004209DF" w:rsidRPr="004209DF" w:rsidRDefault="004209DF" w:rsidP="004209DF">
            <w:pPr>
              <w:spacing w:before="0" w:after="0" w:line="60" w:lineRule="atLeast"/>
              <w:jc w:val="right"/>
              <w:rPr>
                <w:b/>
                <w:kern w:val="20"/>
                <w:szCs w:val="18"/>
                <w:lang w:eastAsia="en-US"/>
              </w:rPr>
            </w:pPr>
            <w:r w:rsidRPr="004209DF">
              <w:rPr>
                <w:b/>
                <w:kern w:val="20"/>
                <w:szCs w:val="18"/>
                <w:lang w:eastAsia="en-US"/>
              </w:rPr>
              <w:t>38,519</w:t>
            </w:r>
          </w:p>
        </w:tc>
        <w:tc>
          <w:tcPr>
            <w:tcW w:w="1247" w:type="dxa"/>
          </w:tcPr>
          <w:p w:rsidR="004209DF" w:rsidRPr="004209DF" w:rsidRDefault="004209DF" w:rsidP="004209DF">
            <w:pPr>
              <w:spacing w:before="0" w:after="0" w:line="60" w:lineRule="atLeast"/>
              <w:jc w:val="right"/>
              <w:rPr>
                <w:b/>
                <w:kern w:val="20"/>
                <w:szCs w:val="18"/>
                <w:lang w:eastAsia="en-US"/>
              </w:rPr>
            </w:pPr>
            <w:r w:rsidRPr="004209DF">
              <w:rPr>
                <w:b/>
                <w:kern w:val="20"/>
                <w:szCs w:val="18"/>
                <w:lang w:eastAsia="en-US"/>
              </w:rPr>
              <w:t>21%</w:t>
            </w:r>
          </w:p>
        </w:tc>
      </w:tr>
      <w:tr w:rsidR="004209DF" w:rsidRPr="004879A1" w:rsidTr="004879A1">
        <w:trPr>
          <w:trHeight w:val="283"/>
        </w:trPr>
        <w:tc>
          <w:tcPr>
            <w:tcW w:w="1134" w:type="dxa"/>
          </w:tcPr>
          <w:p w:rsidR="004209DF" w:rsidRPr="004879A1" w:rsidRDefault="004209DF" w:rsidP="004879A1">
            <w:pPr>
              <w:pStyle w:val="Tabletext"/>
              <w:spacing w:before="0" w:after="0" w:line="60" w:lineRule="atLeast"/>
              <w:rPr>
                <w:b/>
              </w:rPr>
            </w:pPr>
          </w:p>
        </w:tc>
        <w:tc>
          <w:tcPr>
            <w:tcW w:w="3458" w:type="dxa"/>
          </w:tcPr>
          <w:p w:rsidR="004209DF" w:rsidRPr="004879A1" w:rsidRDefault="004209DF" w:rsidP="004879A1">
            <w:pPr>
              <w:pStyle w:val="Tabletext"/>
              <w:spacing w:before="0" w:after="0" w:line="60" w:lineRule="atLeast"/>
              <w:rPr>
                <w:b/>
              </w:rPr>
            </w:pPr>
          </w:p>
        </w:tc>
        <w:tc>
          <w:tcPr>
            <w:tcW w:w="1247" w:type="dxa"/>
          </w:tcPr>
          <w:p w:rsidR="004209DF" w:rsidRPr="004879A1" w:rsidRDefault="004209DF" w:rsidP="004879A1">
            <w:pPr>
              <w:spacing w:before="0" w:after="0" w:line="60" w:lineRule="atLeast"/>
              <w:jc w:val="right"/>
              <w:rPr>
                <w:b/>
                <w:kern w:val="20"/>
                <w:szCs w:val="18"/>
                <w:lang w:eastAsia="en-US"/>
              </w:rPr>
            </w:pPr>
          </w:p>
        </w:tc>
        <w:tc>
          <w:tcPr>
            <w:tcW w:w="1247" w:type="dxa"/>
          </w:tcPr>
          <w:p w:rsidR="004209DF" w:rsidRPr="004879A1" w:rsidRDefault="004209DF" w:rsidP="004879A1">
            <w:pPr>
              <w:spacing w:before="0" w:after="0" w:line="60" w:lineRule="atLeast"/>
              <w:rPr>
                <w:b/>
                <w:kern w:val="20"/>
                <w:szCs w:val="18"/>
                <w:lang w:eastAsia="en-US"/>
              </w:rPr>
            </w:pPr>
          </w:p>
        </w:tc>
        <w:tc>
          <w:tcPr>
            <w:tcW w:w="1247" w:type="dxa"/>
          </w:tcPr>
          <w:p w:rsidR="004209DF" w:rsidRPr="004879A1" w:rsidRDefault="004209DF" w:rsidP="004879A1">
            <w:pPr>
              <w:spacing w:before="0" w:after="0" w:line="60" w:lineRule="atLeast"/>
              <w:jc w:val="right"/>
              <w:rPr>
                <w:b/>
                <w:kern w:val="20"/>
                <w:szCs w:val="18"/>
                <w:lang w:eastAsia="en-US"/>
              </w:rPr>
            </w:pPr>
          </w:p>
        </w:tc>
      </w:tr>
      <w:tr w:rsidR="004879A1" w:rsidRPr="00E163F2" w:rsidTr="004879A1">
        <w:trPr>
          <w:trHeight w:val="283"/>
        </w:trPr>
        <w:tc>
          <w:tcPr>
            <w:tcW w:w="1134" w:type="dxa"/>
          </w:tcPr>
          <w:p w:rsidR="004879A1" w:rsidRPr="004209DF" w:rsidRDefault="004879A1" w:rsidP="003979FE">
            <w:pPr>
              <w:pStyle w:val="Tabletext"/>
              <w:rPr>
                <w:b/>
              </w:rPr>
            </w:pPr>
            <w:r w:rsidRPr="004209DF">
              <w:rPr>
                <w:b/>
              </w:rPr>
              <w:t>Upper Hutt</w:t>
            </w:r>
          </w:p>
        </w:tc>
        <w:tc>
          <w:tcPr>
            <w:tcW w:w="3458" w:type="dxa"/>
          </w:tcPr>
          <w:p w:rsidR="004879A1" w:rsidRPr="00A12D88" w:rsidRDefault="004879A1" w:rsidP="004209DF">
            <w:pPr>
              <w:spacing w:after="0"/>
            </w:pPr>
            <w:r w:rsidRPr="00A12D88">
              <w:t>Community dev</w:t>
            </w:r>
            <w:r>
              <w:t>e</w:t>
            </w:r>
            <w:r w:rsidRPr="00A12D88">
              <w:t>lopment</w:t>
            </w:r>
          </w:p>
        </w:tc>
        <w:tc>
          <w:tcPr>
            <w:tcW w:w="1247" w:type="dxa"/>
          </w:tcPr>
          <w:p w:rsidR="004879A1" w:rsidRPr="00844B4D" w:rsidRDefault="004879A1" w:rsidP="004209DF">
            <w:pPr>
              <w:spacing w:before="0"/>
              <w:jc w:val="right"/>
            </w:pPr>
            <w:r w:rsidRPr="00844B4D">
              <w:t xml:space="preserve">108 </w:t>
            </w:r>
          </w:p>
        </w:tc>
        <w:tc>
          <w:tcPr>
            <w:tcW w:w="1247" w:type="dxa"/>
          </w:tcPr>
          <w:p w:rsidR="004879A1" w:rsidRPr="00274374" w:rsidRDefault="004879A1" w:rsidP="004209DF">
            <w:pPr>
              <w:spacing w:before="0"/>
              <w:jc w:val="right"/>
            </w:pPr>
            <w:r w:rsidRPr="00274374">
              <w:t xml:space="preserve">1,583 </w:t>
            </w:r>
          </w:p>
        </w:tc>
        <w:tc>
          <w:tcPr>
            <w:tcW w:w="1247" w:type="dxa"/>
          </w:tcPr>
          <w:p w:rsidR="004879A1" w:rsidRPr="006E6E1F" w:rsidRDefault="004879A1" w:rsidP="004879A1">
            <w:pPr>
              <w:spacing w:before="0"/>
              <w:jc w:val="right"/>
            </w:pPr>
            <w:r w:rsidRPr="006E6E1F">
              <w:t>7%</w:t>
            </w:r>
          </w:p>
        </w:tc>
      </w:tr>
      <w:tr w:rsidR="004879A1" w:rsidRPr="00E163F2" w:rsidTr="004879A1">
        <w:trPr>
          <w:trHeight w:val="283"/>
        </w:trPr>
        <w:tc>
          <w:tcPr>
            <w:tcW w:w="1134" w:type="dxa"/>
          </w:tcPr>
          <w:p w:rsidR="004879A1" w:rsidRPr="007A6A3D" w:rsidRDefault="004879A1" w:rsidP="007A6A3D">
            <w:pPr>
              <w:pStyle w:val="Tabletext"/>
              <w:spacing w:before="0" w:after="0" w:line="60" w:lineRule="atLeast"/>
              <w:rPr>
                <w:b/>
              </w:rPr>
            </w:pPr>
          </w:p>
        </w:tc>
        <w:tc>
          <w:tcPr>
            <w:tcW w:w="3458" w:type="dxa"/>
          </w:tcPr>
          <w:p w:rsidR="004879A1" w:rsidRDefault="004879A1" w:rsidP="004209DF">
            <w:pPr>
              <w:spacing w:after="0"/>
            </w:pPr>
            <w:r w:rsidRPr="00A12D88">
              <w:t>Facilities</w:t>
            </w:r>
          </w:p>
        </w:tc>
        <w:tc>
          <w:tcPr>
            <w:tcW w:w="1247" w:type="dxa"/>
          </w:tcPr>
          <w:p w:rsidR="004879A1" w:rsidRPr="00844B4D" w:rsidRDefault="004879A1" w:rsidP="004209DF">
            <w:pPr>
              <w:spacing w:before="0"/>
              <w:jc w:val="right"/>
            </w:pPr>
            <w:r w:rsidRPr="00844B4D">
              <w:t xml:space="preserve">2,272 </w:t>
            </w:r>
          </w:p>
        </w:tc>
        <w:tc>
          <w:tcPr>
            <w:tcW w:w="1247" w:type="dxa"/>
          </w:tcPr>
          <w:p w:rsidR="004879A1" w:rsidRPr="00274374" w:rsidRDefault="004879A1" w:rsidP="004209DF">
            <w:pPr>
              <w:spacing w:before="0"/>
              <w:jc w:val="right"/>
            </w:pPr>
            <w:r w:rsidRPr="00274374">
              <w:t xml:space="preserve">9,416 </w:t>
            </w:r>
          </w:p>
        </w:tc>
        <w:tc>
          <w:tcPr>
            <w:tcW w:w="1247" w:type="dxa"/>
          </w:tcPr>
          <w:p w:rsidR="004879A1" w:rsidRPr="006E6E1F" w:rsidRDefault="004879A1" w:rsidP="004879A1">
            <w:pPr>
              <w:spacing w:before="0"/>
              <w:jc w:val="right"/>
            </w:pPr>
            <w:r w:rsidRPr="006E6E1F">
              <w:t>24%</w:t>
            </w:r>
          </w:p>
        </w:tc>
      </w:tr>
      <w:tr w:rsidR="004879A1" w:rsidRPr="004879A1" w:rsidTr="004879A1">
        <w:trPr>
          <w:trHeight w:val="283"/>
        </w:trPr>
        <w:tc>
          <w:tcPr>
            <w:tcW w:w="1134" w:type="dxa"/>
          </w:tcPr>
          <w:p w:rsidR="004879A1" w:rsidRPr="007A6A3D" w:rsidRDefault="004879A1" w:rsidP="004879A1">
            <w:pPr>
              <w:pStyle w:val="Tabletext"/>
              <w:spacing w:after="0" w:line="60" w:lineRule="atLeast"/>
              <w:rPr>
                <w:b/>
              </w:rPr>
            </w:pPr>
          </w:p>
        </w:tc>
        <w:tc>
          <w:tcPr>
            <w:tcW w:w="3458" w:type="dxa"/>
          </w:tcPr>
          <w:p w:rsidR="004879A1" w:rsidRPr="004879A1" w:rsidRDefault="004879A1" w:rsidP="004879A1">
            <w:pPr>
              <w:spacing w:after="0" w:line="120" w:lineRule="atLeast"/>
              <w:rPr>
                <w:b/>
                <w:kern w:val="20"/>
                <w:szCs w:val="18"/>
                <w:lang w:eastAsia="en-US"/>
              </w:rPr>
            </w:pPr>
            <w:r w:rsidRPr="004879A1">
              <w:rPr>
                <w:b/>
                <w:kern w:val="20"/>
                <w:szCs w:val="18"/>
                <w:lang w:eastAsia="en-US"/>
              </w:rPr>
              <w:t>Total</w:t>
            </w:r>
          </w:p>
        </w:tc>
        <w:tc>
          <w:tcPr>
            <w:tcW w:w="1247" w:type="dxa"/>
          </w:tcPr>
          <w:p w:rsidR="004879A1" w:rsidRPr="004879A1" w:rsidRDefault="004879A1" w:rsidP="004879A1">
            <w:pPr>
              <w:spacing w:after="0"/>
              <w:jc w:val="right"/>
              <w:rPr>
                <w:b/>
                <w:kern w:val="20"/>
                <w:szCs w:val="18"/>
                <w:lang w:eastAsia="en-US"/>
              </w:rPr>
            </w:pPr>
            <w:r w:rsidRPr="004879A1">
              <w:rPr>
                <w:b/>
                <w:kern w:val="20"/>
                <w:szCs w:val="18"/>
                <w:lang w:eastAsia="en-US"/>
              </w:rPr>
              <w:t>2,380</w:t>
            </w:r>
          </w:p>
        </w:tc>
        <w:tc>
          <w:tcPr>
            <w:tcW w:w="1247" w:type="dxa"/>
          </w:tcPr>
          <w:p w:rsidR="004879A1" w:rsidRPr="004879A1" w:rsidRDefault="004879A1" w:rsidP="004879A1">
            <w:pPr>
              <w:spacing w:after="0"/>
              <w:jc w:val="right"/>
              <w:rPr>
                <w:b/>
                <w:kern w:val="20"/>
                <w:szCs w:val="18"/>
                <w:lang w:eastAsia="en-US"/>
              </w:rPr>
            </w:pPr>
            <w:r w:rsidRPr="004879A1">
              <w:rPr>
                <w:b/>
                <w:kern w:val="20"/>
                <w:szCs w:val="18"/>
                <w:lang w:eastAsia="en-US"/>
              </w:rPr>
              <w:t>10,999</w:t>
            </w:r>
          </w:p>
        </w:tc>
        <w:tc>
          <w:tcPr>
            <w:tcW w:w="1247" w:type="dxa"/>
          </w:tcPr>
          <w:p w:rsidR="004879A1" w:rsidRPr="004879A1" w:rsidRDefault="004879A1" w:rsidP="004879A1">
            <w:pPr>
              <w:spacing w:after="0"/>
              <w:jc w:val="right"/>
              <w:rPr>
                <w:b/>
                <w:kern w:val="20"/>
                <w:szCs w:val="18"/>
                <w:lang w:eastAsia="en-US"/>
              </w:rPr>
            </w:pPr>
            <w:r w:rsidRPr="004879A1">
              <w:rPr>
                <w:b/>
                <w:kern w:val="20"/>
                <w:szCs w:val="18"/>
                <w:lang w:eastAsia="en-US"/>
              </w:rPr>
              <w:t>22%</w:t>
            </w:r>
          </w:p>
        </w:tc>
      </w:tr>
      <w:tr w:rsidR="00EA5A10" w:rsidRPr="008D0D56" w:rsidTr="004879A1">
        <w:trPr>
          <w:trHeight w:val="283"/>
        </w:trPr>
        <w:tc>
          <w:tcPr>
            <w:tcW w:w="1134" w:type="dxa"/>
          </w:tcPr>
          <w:p w:rsidR="00EA5A10" w:rsidRPr="008D0D56" w:rsidRDefault="00EA5A10" w:rsidP="008D0D56">
            <w:pPr>
              <w:pStyle w:val="Tabletext"/>
              <w:spacing w:before="0" w:after="0" w:line="60" w:lineRule="atLeast"/>
              <w:rPr>
                <w:b/>
              </w:rPr>
            </w:pPr>
          </w:p>
        </w:tc>
        <w:tc>
          <w:tcPr>
            <w:tcW w:w="3458" w:type="dxa"/>
          </w:tcPr>
          <w:p w:rsidR="00EA5A10" w:rsidRPr="008D0D56" w:rsidRDefault="00EA5A10" w:rsidP="008D0D56">
            <w:pPr>
              <w:pStyle w:val="Tabletext"/>
              <w:spacing w:before="0" w:after="0" w:line="60" w:lineRule="atLeast"/>
            </w:pPr>
          </w:p>
        </w:tc>
        <w:tc>
          <w:tcPr>
            <w:tcW w:w="1247" w:type="dxa"/>
          </w:tcPr>
          <w:p w:rsidR="00EA5A10" w:rsidRPr="008D0D56" w:rsidRDefault="00EA5A10" w:rsidP="008D0D56">
            <w:pPr>
              <w:pStyle w:val="Tabletext"/>
              <w:spacing w:before="0" w:after="0" w:line="60" w:lineRule="atLeast"/>
            </w:pPr>
          </w:p>
        </w:tc>
        <w:tc>
          <w:tcPr>
            <w:tcW w:w="1247" w:type="dxa"/>
          </w:tcPr>
          <w:p w:rsidR="00EA5A10" w:rsidRPr="008D0D56" w:rsidRDefault="00EA5A10" w:rsidP="008D0D56">
            <w:pPr>
              <w:pStyle w:val="Tabletext"/>
              <w:spacing w:before="0" w:after="0" w:line="60" w:lineRule="atLeast"/>
            </w:pPr>
          </w:p>
        </w:tc>
        <w:tc>
          <w:tcPr>
            <w:tcW w:w="1247" w:type="dxa"/>
          </w:tcPr>
          <w:p w:rsidR="00EA5A10" w:rsidRPr="008D0D56" w:rsidRDefault="00EA5A10" w:rsidP="008D0D56">
            <w:pPr>
              <w:pStyle w:val="Tabletext"/>
              <w:spacing w:before="0" w:after="0" w:line="60" w:lineRule="atLeast"/>
            </w:pPr>
          </w:p>
        </w:tc>
      </w:tr>
      <w:tr w:rsidR="00E93BF5" w:rsidRPr="008D0D56" w:rsidTr="004879A1">
        <w:trPr>
          <w:trHeight w:val="283"/>
        </w:trPr>
        <w:tc>
          <w:tcPr>
            <w:tcW w:w="1134" w:type="dxa"/>
          </w:tcPr>
          <w:p w:rsidR="00E93BF5" w:rsidRPr="008D0D56" w:rsidRDefault="00E93BF5" w:rsidP="008D0D56">
            <w:pPr>
              <w:pStyle w:val="Tabletext"/>
              <w:spacing w:before="0" w:after="0" w:line="60" w:lineRule="atLeast"/>
              <w:rPr>
                <w:b/>
              </w:rPr>
            </w:pPr>
            <w:r w:rsidRPr="008D0D56">
              <w:rPr>
                <w:b/>
              </w:rPr>
              <w:t>Porirua City</w:t>
            </w:r>
          </w:p>
        </w:tc>
        <w:tc>
          <w:tcPr>
            <w:tcW w:w="3458" w:type="dxa"/>
          </w:tcPr>
          <w:p w:rsidR="00E93BF5" w:rsidRPr="00967977" w:rsidRDefault="00E93BF5" w:rsidP="008D0D56">
            <w:pPr>
              <w:spacing w:after="0"/>
            </w:pPr>
            <w:r w:rsidRPr="00967977">
              <w:t>Arts &amp; Heritage</w:t>
            </w:r>
          </w:p>
        </w:tc>
        <w:tc>
          <w:tcPr>
            <w:tcW w:w="1247" w:type="dxa"/>
          </w:tcPr>
          <w:p w:rsidR="00E93BF5" w:rsidRPr="004374B3" w:rsidRDefault="00E93BF5" w:rsidP="008D0D56">
            <w:pPr>
              <w:spacing w:before="0"/>
              <w:jc w:val="right"/>
            </w:pPr>
            <w:r w:rsidRPr="004374B3">
              <w:t xml:space="preserve">220 </w:t>
            </w:r>
          </w:p>
        </w:tc>
        <w:tc>
          <w:tcPr>
            <w:tcW w:w="1247" w:type="dxa"/>
          </w:tcPr>
          <w:p w:rsidR="00E93BF5" w:rsidRPr="009C249C" w:rsidRDefault="00E93BF5" w:rsidP="00E93BF5">
            <w:pPr>
              <w:spacing w:before="0"/>
              <w:jc w:val="right"/>
            </w:pPr>
            <w:r w:rsidRPr="009C249C">
              <w:t xml:space="preserve">2,676 </w:t>
            </w:r>
          </w:p>
        </w:tc>
        <w:tc>
          <w:tcPr>
            <w:tcW w:w="1247" w:type="dxa"/>
          </w:tcPr>
          <w:p w:rsidR="00E93BF5" w:rsidRPr="00F9338B" w:rsidRDefault="00E93BF5" w:rsidP="00E93BF5">
            <w:pPr>
              <w:spacing w:before="0"/>
              <w:jc w:val="right"/>
            </w:pPr>
            <w:r w:rsidRPr="00F9338B">
              <w:t>8%</w:t>
            </w:r>
          </w:p>
        </w:tc>
      </w:tr>
      <w:tr w:rsidR="00E93BF5" w:rsidRPr="008D0D56" w:rsidTr="004879A1">
        <w:trPr>
          <w:trHeight w:val="283"/>
        </w:trPr>
        <w:tc>
          <w:tcPr>
            <w:tcW w:w="1134" w:type="dxa"/>
          </w:tcPr>
          <w:p w:rsidR="00E93BF5" w:rsidRPr="008D0D56" w:rsidRDefault="00E93BF5" w:rsidP="008D0D56">
            <w:pPr>
              <w:pStyle w:val="Tabletext"/>
              <w:spacing w:before="0" w:after="0" w:line="60" w:lineRule="atLeast"/>
              <w:rPr>
                <w:b/>
              </w:rPr>
            </w:pPr>
          </w:p>
        </w:tc>
        <w:tc>
          <w:tcPr>
            <w:tcW w:w="3458" w:type="dxa"/>
          </w:tcPr>
          <w:p w:rsidR="00E93BF5" w:rsidRPr="00967977" w:rsidRDefault="00E93BF5" w:rsidP="008D0D56">
            <w:pPr>
              <w:spacing w:after="0"/>
            </w:pPr>
            <w:r w:rsidRPr="00967977">
              <w:t>Libraries</w:t>
            </w:r>
          </w:p>
        </w:tc>
        <w:tc>
          <w:tcPr>
            <w:tcW w:w="1247" w:type="dxa"/>
          </w:tcPr>
          <w:p w:rsidR="00E93BF5" w:rsidRPr="004374B3" w:rsidRDefault="00E93BF5" w:rsidP="008D0D56">
            <w:pPr>
              <w:spacing w:before="0"/>
              <w:jc w:val="right"/>
            </w:pPr>
            <w:r w:rsidRPr="004374B3">
              <w:t xml:space="preserve">177 </w:t>
            </w:r>
          </w:p>
        </w:tc>
        <w:tc>
          <w:tcPr>
            <w:tcW w:w="1247" w:type="dxa"/>
          </w:tcPr>
          <w:p w:rsidR="00E93BF5" w:rsidRPr="009C249C" w:rsidRDefault="00E93BF5" w:rsidP="00E93BF5">
            <w:pPr>
              <w:spacing w:before="0"/>
              <w:jc w:val="right"/>
            </w:pPr>
            <w:r w:rsidRPr="009C249C">
              <w:t xml:space="preserve">2,822 </w:t>
            </w:r>
          </w:p>
        </w:tc>
        <w:tc>
          <w:tcPr>
            <w:tcW w:w="1247" w:type="dxa"/>
          </w:tcPr>
          <w:p w:rsidR="00E93BF5" w:rsidRPr="00F9338B" w:rsidRDefault="00E93BF5" w:rsidP="00E93BF5">
            <w:pPr>
              <w:spacing w:before="0"/>
              <w:jc w:val="right"/>
            </w:pPr>
            <w:r w:rsidRPr="00F9338B">
              <w:t>6%</w:t>
            </w:r>
          </w:p>
        </w:tc>
      </w:tr>
      <w:tr w:rsidR="00E93BF5" w:rsidRPr="008D0D56" w:rsidTr="004879A1">
        <w:trPr>
          <w:trHeight w:val="283"/>
        </w:trPr>
        <w:tc>
          <w:tcPr>
            <w:tcW w:w="1134" w:type="dxa"/>
          </w:tcPr>
          <w:p w:rsidR="00E93BF5" w:rsidRPr="008D0D56" w:rsidRDefault="00E93BF5" w:rsidP="008D0D56">
            <w:pPr>
              <w:pStyle w:val="Tabletext"/>
              <w:spacing w:before="0" w:after="0" w:line="60" w:lineRule="atLeast"/>
              <w:rPr>
                <w:b/>
              </w:rPr>
            </w:pPr>
          </w:p>
        </w:tc>
        <w:tc>
          <w:tcPr>
            <w:tcW w:w="3458" w:type="dxa"/>
          </w:tcPr>
          <w:p w:rsidR="00E93BF5" w:rsidRPr="00967977" w:rsidRDefault="00E93BF5" w:rsidP="008D0D56">
            <w:pPr>
              <w:spacing w:after="0"/>
            </w:pPr>
            <w:r w:rsidRPr="00967977">
              <w:t>Community Recreation Programmes</w:t>
            </w:r>
          </w:p>
        </w:tc>
        <w:tc>
          <w:tcPr>
            <w:tcW w:w="1247" w:type="dxa"/>
          </w:tcPr>
          <w:p w:rsidR="00E93BF5" w:rsidRPr="004374B3" w:rsidRDefault="00E93BF5" w:rsidP="008D0D56">
            <w:pPr>
              <w:spacing w:before="0"/>
              <w:jc w:val="right"/>
            </w:pPr>
            <w:r w:rsidRPr="004374B3">
              <w:t xml:space="preserve">89 </w:t>
            </w:r>
          </w:p>
        </w:tc>
        <w:tc>
          <w:tcPr>
            <w:tcW w:w="1247" w:type="dxa"/>
          </w:tcPr>
          <w:p w:rsidR="00E93BF5" w:rsidRPr="009C249C" w:rsidRDefault="00E93BF5" w:rsidP="00E93BF5">
            <w:pPr>
              <w:spacing w:before="0"/>
              <w:jc w:val="right"/>
            </w:pPr>
            <w:r w:rsidRPr="009C249C">
              <w:t xml:space="preserve">152 </w:t>
            </w:r>
          </w:p>
        </w:tc>
        <w:tc>
          <w:tcPr>
            <w:tcW w:w="1247" w:type="dxa"/>
          </w:tcPr>
          <w:p w:rsidR="00E93BF5" w:rsidRPr="00F9338B" w:rsidRDefault="00E93BF5" w:rsidP="00E93BF5">
            <w:pPr>
              <w:spacing w:before="0"/>
              <w:jc w:val="right"/>
            </w:pPr>
            <w:r w:rsidRPr="00F9338B">
              <w:t>59%</w:t>
            </w:r>
          </w:p>
        </w:tc>
      </w:tr>
      <w:tr w:rsidR="00E93BF5" w:rsidRPr="008D0D56" w:rsidTr="004879A1">
        <w:trPr>
          <w:trHeight w:val="283"/>
        </w:trPr>
        <w:tc>
          <w:tcPr>
            <w:tcW w:w="1134" w:type="dxa"/>
          </w:tcPr>
          <w:p w:rsidR="00E93BF5" w:rsidRPr="008D0D56" w:rsidRDefault="00E93BF5" w:rsidP="008D0D56">
            <w:pPr>
              <w:pStyle w:val="Tabletext"/>
              <w:spacing w:before="0" w:after="0" w:line="60" w:lineRule="atLeast"/>
              <w:rPr>
                <w:b/>
              </w:rPr>
            </w:pPr>
          </w:p>
        </w:tc>
        <w:tc>
          <w:tcPr>
            <w:tcW w:w="3458" w:type="dxa"/>
          </w:tcPr>
          <w:p w:rsidR="00E93BF5" w:rsidRPr="00967977" w:rsidRDefault="00E93BF5" w:rsidP="008D0D56">
            <w:pPr>
              <w:spacing w:after="0"/>
            </w:pPr>
            <w:r w:rsidRPr="00967977">
              <w:t>Indoor Recreation</w:t>
            </w:r>
          </w:p>
        </w:tc>
        <w:tc>
          <w:tcPr>
            <w:tcW w:w="1247" w:type="dxa"/>
          </w:tcPr>
          <w:p w:rsidR="00E93BF5" w:rsidRPr="004374B3" w:rsidRDefault="00E93BF5" w:rsidP="008D0D56">
            <w:pPr>
              <w:spacing w:before="0"/>
              <w:jc w:val="right"/>
            </w:pPr>
            <w:r w:rsidRPr="004374B3">
              <w:t xml:space="preserve">3,631 </w:t>
            </w:r>
          </w:p>
        </w:tc>
        <w:tc>
          <w:tcPr>
            <w:tcW w:w="1247" w:type="dxa"/>
          </w:tcPr>
          <w:p w:rsidR="00E93BF5" w:rsidRPr="009C249C" w:rsidRDefault="00E93BF5" w:rsidP="00E93BF5">
            <w:pPr>
              <w:spacing w:before="0"/>
              <w:jc w:val="right"/>
            </w:pPr>
            <w:r w:rsidRPr="009C249C">
              <w:t xml:space="preserve">6,512 </w:t>
            </w:r>
          </w:p>
        </w:tc>
        <w:tc>
          <w:tcPr>
            <w:tcW w:w="1247" w:type="dxa"/>
          </w:tcPr>
          <w:p w:rsidR="00E93BF5" w:rsidRPr="00F9338B" w:rsidRDefault="00E93BF5" w:rsidP="00E93BF5">
            <w:pPr>
              <w:spacing w:before="0"/>
              <w:jc w:val="right"/>
            </w:pPr>
            <w:r w:rsidRPr="00F9338B">
              <w:t>56%</w:t>
            </w:r>
          </w:p>
        </w:tc>
      </w:tr>
      <w:tr w:rsidR="00E93BF5" w:rsidRPr="008D0D56" w:rsidTr="004879A1">
        <w:trPr>
          <w:trHeight w:val="283"/>
        </w:trPr>
        <w:tc>
          <w:tcPr>
            <w:tcW w:w="1134" w:type="dxa"/>
          </w:tcPr>
          <w:p w:rsidR="00E93BF5" w:rsidRPr="008D0D56" w:rsidRDefault="00E93BF5" w:rsidP="008D0D56">
            <w:pPr>
              <w:pStyle w:val="Tabletext"/>
              <w:spacing w:before="0" w:after="0" w:line="60" w:lineRule="atLeast"/>
              <w:rPr>
                <w:b/>
              </w:rPr>
            </w:pPr>
          </w:p>
        </w:tc>
        <w:tc>
          <w:tcPr>
            <w:tcW w:w="3458" w:type="dxa"/>
          </w:tcPr>
          <w:p w:rsidR="00E93BF5" w:rsidRPr="00967977" w:rsidRDefault="00E93BF5" w:rsidP="008D0D56">
            <w:pPr>
              <w:spacing w:after="0"/>
            </w:pPr>
            <w:r w:rsidRPr="00967977">
              <w:t>Sports Fields &amp; Outdoor Courts</w:t>
            </w:r>
          </w:p>
        </w:tc>
        <w:tc>
          <w:tcPr>
            <w:tcW w:w="1247" w:type="dxa"/>
          </w:tcPr>
          <w:p w:rsidR="00E93BF5" w:rsidRPr="004374B3" w:rsidRDefault="00E93BF5" w:rsidP="008D0D56">
            <w:pPr>
              <w:spacing w:before="0"/>
              <w:jc w:val="right"/>
            </w:pPr>
            <w:r w:rsidRPr="004374B3">
              <w:t xml:space="preserve">147 </w:t>
            </w:r>
          </w:p>
        </w:tc>
        <w:tc>
          <w:tcPr>
            <w:tcW w:w="1247" w:type="dxa"/>
          </w:tcPr>
          <w:p w:rsidR="00E93BF5" w:rsidRPr="009C249C" w:rsidRDefault="00E93BF5" w:rsidP="00E93BF5">
            <w:pPr>
              <w:spacing w:before="0"/>
              <w:jc w:val="right"/>
            </w:pPr>
            <w:r w:rsidRPr="009C249C">
              <w:t xml:space="preserve">3,973 </w:t>
            </w:r>
          </w:p>
        </w:tc>
        <w:tc>
          <w:tcPr>
            <w:tcW w:w="1247" w:type="dxa"/>
          </w:tcPr>
          <w:p w:rsidR="00E93BF5" w:rsidRPr="00F9338B" w:rsidRDefault="00E93BF5" w:rsidP="00E93BF5">
            <w:pPr>
              <w:spacing w:before="0"/>
              <w:jc w:val="right"/>
            </w:pPr>
            <w:r w:rsidRPr="00F9338B">
              <w:t>4%</w:t>
            </w:r>
          </w:p>
        </w:tc>
      </w:tr>
      <w:tr w:rsidR="00E93BF5" w:rsidRPr="008D0D56" w:rsidTr="004879A1">
        <w:trPr>
          <w:trHeight w:val="283"/>
        </w:trPr>
        <w:tc>
          <w:tcPr>
            <w:tcW w:w="1134" w:type="dxa"/>
          </w:tcPr>
          <w:p w:rsidR="00E93BF5" w:rsidRPr="008D0D56" w:rsidRDefault="00E93BF5" w:rsidP="008D0D56">
            <w:pPr>
              <w:pStyle w:val="Tabletext"/>
              <w:spacing w:before="0" w:after="0" w:line="60" w:lineRule="atLeast"/>
              <w:rPr>
                <w:b/>
              </w:rPr>
            </w:pPr>
          </w:p>
        </w:tc>
        <w:tc>
          <w:tcPr>
            <w:tcW w:w="3458" w:type="dxa"/>
          </w:tcPr>
          <w:p w:rsidR="00E93BF5" w:rsidRPr="00967977" w:rsidRDefault="00E93BF5" w:rsidP="008D0D56">
            <w:pPr>
              <w:spacing w:after="0"/>
            </w:pPr>
            <w:r w:rsidRPr="00967977">
              <w:t>City Landscape</w:t>
            </w:r>
          </w:p>
        </w:tc>
        <w:tc>
          <w:tcPr>
            <w:tcW w:w="1247" w:type="dxa"/>
          </w:tcPr>
          <w:p w:rsidR="00E93BF5" w:rsidRPr="004374B3" w:rsidRDefault="00E93BF5" w:rsidP="008D0D56">
            <w:pPr>
              <w:spacing w:before="0"/>
              <w:jc w:val="right"/>
            </w:pPr>
            <w:r w:rsidRPr="004374B3">
              <w:t xml:space="preserve">100 </w:t>
            </w:r>
          </w:p>
        </w:tc>
        <w:tc>
          <w:tcPr>
            <w:tcW w:w="1247" w:type="dxa"/>
          </w:tcPr>
          <w:p w:rsidR="00E93BF5" w:rsidRPr="009C249C" w:rsidRDefault="00E93BF5" w:rsidP="00E93BF5">
            <w:pPr>
              <w:spacing w:before="0"/>
              <w:jc w:val="right"/>
            </w:pPr>
            <w:r w:rsidRPr="009C249C">
              <w:t xml:space="preserve">5,268 </w:t>
            </w:r>
          </w:p>
        </w:tc>
        <w:tc>
          <w:tcPr>
            <w:tcW w:w="1247" w:type="dxa"/>
          </w:tcPr>
          <w:p w:rsidR="00E93BF5" w:rsidRPr="00F9338B" w:rsidRDefault="00E93BF5" w:rsidP="00E93BF5">
            <w:pPr>
              <w:spacing w:before="0"/>
              <w:jc w:val="right"/>
            </w:pPr>
            <w:r w:rsidRPr="00F9338B">
              <w:t>2%</w:t>
            </w:r>
          </w:p>
        </w:tc>
      </w:tr>
      <w:tr w:rsidR="00E93BF5" w:rsidRPr="008D0D56" w:rsidTr="004879A1">
        <w:trPr>
          <w:trHeight w:val="283"/>
        </w:trPr>
        <w:tc>
          <w:tcPr>
            <w:tcW w:w="1134" w:type="dxa"/>
          </w:tcPr>
          <w:p w:rsidR="00E93BF5" w:rsidRPr="008D0D56" w:rsidRDefault="00E93BF5" w:rsidP="008D0D56">
            <w:pPr>
              <w:pStyle w:val="Tabletext"/>
              <w:spacing w:before="0" w:after="0" w:line="60" w:lineRule="atLeast"/>
              <w:rPr>
                <w:b/>
              </w:rPr>
            </w:pPr>
          </w:p>
        </w:tc>
        <w:tc>
          <w:tcPr>
            <w:tcW w:w="3458" w:type="dxa"/>
          </w:tcPr>
          <w:p w:rsidR="00E93BF5" w:rsidRDefault="00E93BF5" w:rsidP="008D0D56">
            <w:pPr>
              <w:spacing w:after="0"/>
            </w:pPr>
            <w:r w:rsidRPr="00967977">
              <w:t>Council Property (democratic process)</w:t>
            </w:r>
          </w:p>
        </w:tc>
        <w:tc>
          <w:tcPr>
            <w:tcW w:w="1247" w:type="dxa"/>
          </w:tcPr>
          <w:p w:rsidR="00E93BF5" w:rsidRPr="004374B3" w:rsidRDefault="00E93BF5" w:rsidP="008D0D56">
            <w:pPr>
              <w:spacing w:before="0"/>
              <w:jc w:val="right"/>
            </w:pPr>
            <w:r w:rsidRPr="004374B3">
              <w:t xml:space="preserve">1,754 </w:t>
            </w:r>
          </w:p>
        </w:tc>
        <w:tc>
          <w:tcPr>
            <w:tcW w:w="1247" w:type="dxa"/>
          </w:tcPr>
          <w:p w:rsidR="00E93BF5" w:rsidRPr="009C249C" w:rsidRDefault="00E93BF5" w:rsidP="00E93BF5">
            <w:pPr>
              <w:spacing w:before="0"/>
              <w:jc w:val="right"/>
            </w:pPr>
            <w:r w:rsidRPr="009C249C">
              <w:t xml:space="preserve">3,973 </w:t>
            </w:r>
          </w:p>
        </w:tc>
        <w:tc>
          <w:tcPr>
            <w:tcW w:w="1247" w:type="dxa"/>
          </w:tcPr>
          <w:p w:rsidR="00E93BF5" w:rsidRPr="00F9338B" w:rsidRDefault="00E93BF5" w:rsidP="00E93BF5">
            <w:pPr>
              <w:spacing w:before="0"/>
              <w:jc w:val="right"/>
            </w:pPr>
            <w:r w:rsidRPr="00F9338B">
              <w:t>44%</w:t>
            </w:r>
          </w:p>
        </w:tc>
      </w:tr>
      <w:tr w:rsidR="00E93BF5" w:rsidRPr="00E93BF5" w:rsidTr="004879A1">
        <w:trPr>
          <w:trHeight w:val="283"/>
        </w:trPr>
        <w:tc>
          <w:tcPr>
            <w:tcW w:w="1134" w:type="dxa"/>
          </w:tcPr>
          <w:p w:rsidR="00E93BF5" w:rsidRPr="008D0D56" w:rsidRDefault="00E93BF5" w:rsidP="008D0D56">
            <w:pPr>
              <w:pStyle w:val="Tabletext"/>
              <w:spacing w:before="0" w:after="0" w:line="60" w:lineRule="atLeast"/>
              <w:rPr>
                <w:b/>
              </w:rPr>
            </w:pPr>
          </w:p>
        </w:tc>
        <w:tc>
          <w:tcPr>
            <w:tcW w:w="3458" w:type="dxa"/>
          </w:tcPr>
          <w:p w:rsidR="00E93BF5" w:rsidRPr="008D0D56" w:rsidRDefault="00E93BF5" w:rsidP="00386E7A">
            <w:pPr>
              <w:pStyle w:val="Tabletext"/>
              <w:spacing w:before="0" w:after="0" w:line="60" w:lineRule="atLeast"/>
              <w:rPr>
                <w:b/>
              </w:rPr>
            </w:pPr>
            <w:r w:rsidRPr="008D0D56">
              <w:rPr>
                <w:b/>
              </w:rPr>
              <w:t>Total</w:t>
            </w:r>
          </w:p>
        </w:tc>
        <w:tc>
          <w:tcPr>
            <w:tcW w:w="1247" w:type="dxa"/>
          </w:tcPr>
          <w:p w:rsidR="00E93BF5" w:rsidRPr="008D0D56" w:rsidRDefault="00E93BF5" w:rsidP="008D0D56">
            <w:pPr>
              <w:spacing w:before="0"/>
              <w:jc w:val="right"/>
              <w:rPr>
                <w:b/>
              </w:rPr>
            </w:pPr>
            <w:r w:rsidRPr="008D0D56">
              <w:rPr>
                <w:b/>
              </w:rPr>
              <w:t>6,118</w:t>
            </w:r>
          </w:p>
        </w:tc>
        <w:tc>
          <w:tcPr>
            <w:tcW w:w="1247" w:type="dxa"/>
          </w:tcPr>
          <w:p w:rsidR="00E93BF5" w:rsidRPr="00E93BF5" w:rsidRDefault="00E93BF5" w:rsidP="00E93BF5">
            <w:pPr>
              <w:spacing w:before="0"/>
              <w:jc w:val="right"/>
              <w:rPr>
                <w:b/>
              </w:rPr>
            </w:pPr>
            <w:r w:rsidRPr="00E93BF5">
              <w:rPr>
                <w:b/>
              </w:rPr>
              <w:t xml:space="preserve">25,376 </w:t>
            </w:r>
          </w:p>
        </w:tc>
        <w:tc>
          <w:tcPr>
            <w:tcW w:w="1247" w:type="dxa"/>
          </w:tcPr>
          <w:p w:rsidR="00E93BF5" w:rsidRPr="00E93BF5" w:rsidRDefault="00E93BF5" w:rsidP="00E93BF5">
            <w:pPr>
              <w:spacing w:before="0"/>
              <w:jc w:val="right"/>
              <w:rPr>
                <w:b/>
              </w:rPr>
            </w:pPr>
            <w:r w:rsidRPr="00E93BF5">
              <w:rPr>
                <w:b/>
              </w:rPr>
              <w:t>24%</w:t>
            </w:r>
          </w:p>
        </w:tc>
      </w:tr>
      <w:tr w:rsidR="00E93BF5" w:rsidRPr="008D0D56" w:rsidTr="004879A1">
        <w:trPr>
          <w:trHeight w:val="283"/>
        </w:trPr>
        <w:tc>
          <w:tcPr>
            <w:tcW w:w="1134" w:type="dxa"/>
          </w:tcPr>
          <w:p w:rsidR="00E93BF5" w:rsidRPr="008D0D56" w:rsidRDefault="00E93BF5" w:rsidP="008D0D56">
            <w:pPr>
              <w:pStyle w:val="Tabletext"/>
              <w:spacing w:before="0" w:after="0" w:line="60" w:lineRule="atLeast"/>
              <w:rPr>
                <w:b/>
              </w:rPr>
            </w:pPr>
          </w:p>
        </w:tc>
        <w:tc>
          <w:tcPr>
            <w:tcW w:w="3458" w:type="dxa"/>
          </w:tcPr>
          <w:p w:rsidR="00E93BF5" w:rsidRPr="008D0D56" w:rsidRDefault="00E93BF5" w:rsidP="008D0D56">
            <w:pPr>
              <w:pStyle w:val="Tabletext"/>
              <w:spacing w:before="0" w:after="0" w:line="60" w:lineRule="atLeast"/>
            </w:pPr>
          </w:p>
        </w:tc>
        <w:tc>
          <w:tcPr>
            <w:tcW w:w="1247" w:type="dxa"/>
          </w:tcPr>
          <w:p w:rsidR="00E93BF5" w:rsidRDefault="00E93BF5" w:rsidP="00386E7A"/>
        </w:tc>
        <w:tc>
          <w:tcPr>
            <w:tcW w:w="1247" w:type="dxa"/>
          </w:tcPr>
          <w:p w:rsidR="00E93BF5" w:rsidRDefault="00E93BF5" w:rsidP="00386E7A"/>
        </w:tc>
        <w:tc>
          <w:tcPr>
            <w:tcW w:w="1247" w:type="dxa"/>
          </w:tcPr>
          <w:p w:rsidR="00E93BF5" w:rsidRDefault="00E93BF5" w:rsidP="00386E7A"/>
        </w:tc>
      </w:tr>
      <w:tr w:rsidR="008D0D56" w:rsidRPr="008D0D56" w:rsidTr="004879A1">
        <w:trPr>
          <w:trHeight w:val="283"/>
        </w:trPr>
        <w:tc>
          <w:tcPr>
            <w:tcW w:w="1134" w:type="dxa"/>
          </w:tcPr>
          <w:p w:rsidR="008D0D56" w:rsidRPr="008D0D56" w:rsidRDefault="008D0D56" w:rsidP="008D0D56">
            <w:pPr>
              <w:pStyle w:val="Tabletext"/>
              <w:spacing w:before="0" w:after="0" w:line="60" w:lineRule="atLeast"/>
              <w:rPr>
                <w:b/>
              </w:rPr>
            </w:pPr>
            <w:r w:rsidRPr="008D0D56">
              <w:rPr>
                <w:b/>
              </w:rPr>
              <w:t>Kapiti Coast</w:t>
            </w:r>
          </w:p>
        </w:tc>
        <w:tc>
          <w:tcPr>
            <w:tcW w:w="3458" w:type="dxa"/>
          </w:tcPr>
          <w:p w:rsidR="008D0D56" w:rsidRPr="008305FD" w:rsidRDefault="008D0D56" w:rsidP="008D0D56">
            <w:pPr>
              <w:pStyle w:val="Tabletext"/>
              <w:spacing w:before="0" w:after="0" w:line="60" w:lineRule="atLeast"/>
            </w:pPr>
            <w:r w:rsidRPr="008305FD">
              <w:t>Community Assets (includes pools)</w:t>
            </w:r>
          </w:p>
        </w:tc>
        <w:tc>
          <w:tcPr>
            <w:tcW w:w="1247" w:type="dxa"/>
          </w:tcPr>
          <w:p w:rsidR="008D0D56" w:rsidRPr="00187833" w:rsidRDefault="008D0D56" w:rsidP="008D0D56">
            <w:pPr>
              <w:spacing w:before="0"/>
              <w:jc w:val="right"/>
            </w:pPr>
            <w:r w:rsidRPr="00187833">
              <w:t xml:space="preserve">2,142 </w:t>
            </w:r>
          </w:p>
        </w:tc>
        <w:tc>
          <w:tcPr>
            <w:tcW w:w="1247" w:type="dxa"/>
          </w:tcPr>
          <w:p w:rsidR="008D0D56" w:rsidRPr="00862862" w:rsidRDefault="008D0D56" w:rsidP="008D0D56">
            <w:pPr>
              <w:spacing w:before="0"/>
              <w:jc w:val="right"/>
            </w:pPr>
            <w:r w:rsidRPr="00862862">
              <w:t xml:space="preserve">6,329 </w:t>
            </w:r>
          </w:p>
        </w:tc>
        <w:tc>
          <w:tcPr>
            <w:tcW w:w="1247" w:type="dxa"/>
          </w:tcPr>
          <w:p w:rsidR="008D0D56" w:rsidRPr="00EF412D" w:rsidRDefault="008D0D56" w:rsidP="008D0D56">
            <w:pPr>
              <w:spacing w:before="0"/>
              <w:jc w:val="right"/>
            </w:pPr>
            <w:r w:rsidRPr="00EF412D">
              <w:t>34%</w:t>
            </w:r>
          </w:p>
        </w:tc>
      </w:tr>
      <w:tr w:rsidR="008D0D56" w:rsidRPr="008D0D56" w:rsidTr="004879A1">
        <w:trPr>
          <w:trHeight w:val="283"/>
        </w:trPr>
        <w:tc>
          <w:tcPr>
            <w:tcW w:w="1134" w:type="dxa"/>
          </w:tcPr>
          <w:p w:rsidR="008D0D56" w:rsidRPr="008D0D56" w:rsidRDefault="008D0D56" w:rsidP="008D0D56">
            <w:pPr>
              <w:pStyle w:val="Tabletext"/>
              <w:spacing w:before="0" w:after="0" w:line="60" w:lineRule="atLeast"/>
              <w:rPr>
                <w:b/>
              </w:rPr>
            </w:pPr>
          </w:p>
        </w:tc>
        <w:tc>
          <w:tcPr>
            <w:tcW w:w="3458" w:type="dxa"/>
          </w:tcPr>
          <w:p w:rsidR="008D0D56" w:rsidRPr="008D0D56" w:rsidRDefault="008D0D56" w:rsidP="008D0D56">
            <w:pPr>
              <w:pStyle w:val="Tabletext"/>
              <w:spacing w:before="0" w:after="0" w:line="60" w:lineRule="atLeast"/>
            </w:pPr>
            <w:r w:rsidRPr="008D0D56">
              <w:t>Libraries Museum &amp; Art</w:t>
            </w:r>
          </w:p>
        </w:tc>
        <w:tc>
          <w:tcPr>
            <w:tcW w:w="1247" w:type="dxa"/>
          </w:tcPr>
          <w:p w:rsidR="008D0D56" w:rsidRPr="00187833" w:rsidRDefault="008D0D56" w:rsidP="008D0D56">
            <w:pPr>
              <w:spacing w:before="0"/>
              <w:jc w:val="right"/>
            </w:pPr>
            <w:r w:rsidRPr="00187833">
              <w:t xml:space="preserve">315 </w:t>
            </w:r>
          </w:p>
        </w:tc>
        <w:tc>
          <w:tcPr>
            <w:tcW w:w="1247" w:type="dxa"/>
          </w:tcPr>
          <w:p w:rsidR="008D0D56" w:rsidRPr="00862862" w:rsidRDefault="008D0D56" w:rsidP="008D0D56">
            <w:pPr>
              <w:spacing w:before="0"/>
              <w:jc w:val="right"/>
            </w:pPr>
            <w:r w:rsidRPr="00862862">
              <w:t xml:space="preserve">4,176 </w:t>
            </w:r>
          </w:p>
        </w:tc>
        <w:tc>
          <w:tcPr>
            <w:tcW w:w="1247" w:type="dxa"/>
          </w:tcPr>
          <w:p w:rsidR="008D0D56" w:rsidRPr="00EF412D" w:rsidRDefault="008D0D56" w:rsidP="008D0D56">
            <w:pPr>
              <w:spacing w:before="0"/>
              <w:jc w:val="right"/>
            </w:pPr>
            <w:r w:rsidRPr="00EF412D">
              <w:t>8%</w:t>
            </w:r>
          </w:p>
        </w:tc>
      </w:tr>
      <w:tr w:rsidR="008D0D56" w:rsidRPr="008D0D56" w:rsidTr="004879A1">
        <w:trPr>
          <w:trHeight w:val="283"/>
        </w:trPr>
        <w:tc>
          <w:tcPr>
            <w:tcW w:w="1134" w:type="dxa"/>
          </w:tcPr>
          <w:p w:rsidR="008D0D56" w:rsidRPr="008D0D56" w:rsidRDefault="008D0D56" w:rsidP="008D0D56">
            <w:pPr>
              <w:pStyle w:val="Tabletext"/>
              <w:spacing w:before="0" w:after="0" w:line="60" w:lineRule="atLeast"/>
              <w:rPr>
                <w:b/>
              </w:rPr>
            </w:pPr>
          </w:p>
        </w:tc>
        <w:tc>
          <w:tcPr>
            <w:tcW w:w="3458" w:type="dxa"/>
          </w:tcPr>
          <w:p w:rsidR="008D0D56" w:rsidRPr="008D0D56" w:rsidRDefault="008D0D56" w:rsidP="008D0D56">
            <w:pPr>
              <w:pStyle w:val="Tabletext"/>
              <w:spacing w:before="0" w:after="0" w:line="60" w:lineRule="atLeast"/>
            </w:pPr>
            <w:r w:rsidRPr="008D0D56">
              <w:t>Parks and Open Spaces</w:t>
            </w:r>
          </w:p>
        </w:tc>
        <w:tc>
          <w:tcPr>
            <w:tcW w:w="1247" w:type="dxa"/>
          </w:tcPr>
          <w:p w:rsidR="008D0D56" w:rsidRPr="00187833" w:rsidRDefault="008D0D56" w:rsidP="008D0D56">
            <w:pPr>
              <w:spacing w:before="0"/>
              <w:jc w:val="right"/>
            </w:pPr>
            <w:r w:rsidRPr="00187833">
              <w:t xml:space="preserve"> 99 </w:t>
            </w:r>
          </w:p>
        </w:tc>
        <w:tc>
          <w:tcPr>
            <w:tcW w:w="1247" w:type="dxa"/>
          </w:tcPr>
          <w:p w:rsidR="008D0D56" w:rsidRPr="00862862" w:rsidRDefault="008D0D56" w:rsidP="008D0D56">
            <w:pPr>
              <w:spacing w:before="0"/>
              <w:jc w:val="right"/>
            </w:pPr>
            <w:r w:rsidRPr="00862862">
              <w:t xml:space="preserve">4,523 </w:t>
            </w:r>
          </w:p>
        </w:tc>
        <w:tc>
          <w:tcPr>
            <w:tcW w:w="1247" w:type="dxa"/>
          </w:tcPr>
          <w:p w:rsidR="008D0D56" w:rsidRPr="00EF412D" w:rsidRDefault="008D0D56" w:rsidP="008D0D56">
            <w:pPr>
              <w:spacing w:before="0"/>
              <w:jc w:val="right"/>
            </w:pPr>
            <w:r w:rsidRPr="00EF412D">
              <w:t>2%</w:t>
            </w:r>
          </w:p>
        </w:tc>
      </w:tr>
      <w:tr w:rsidR="008D0D56" w:rsidRPr="008D0D56" w:rsidTr="004879A1">
        <w:trPr>
          <w:trHeight w:val="283"/>
        </w:trPr>
        <w:tc>
          <w:tcPr>
            <w:tcW w:w="1134" w:type="dxa"/>
          </w:tcPr>
          <w:p w:rsidR="008D0D56" w:rsidRPr="008D0D56" w:rsidRDefault="008D0D56" w:rsidP="008D0D56">
            <w:pPr>
              <w:pStyle w:val="Tabletext"/>
              <w:spacing w:before="0" w:after="0" w:line="60" w:lineRule="atLeast"/>
              <w:rPr>
                <w:b/>
              </w:rPr>
            </w:pPr>
          </w:p>
        </w:tc>
        <w:tc>
          <w:tcPr>
            <w:tcW w:w="3458" w:type="dxa"/>
          </w:tcPr>
          <w:p w:rsidR="008D0D56" w:rsidRPr="008D0D56" w:rsidRDefault="008D0D56" w:rsidP="008D0D56">
            <w:pPr>
              <w:pStyle w:val="Tabletext"/>
              <w:spacing w:before="0" w:after="0" w:line="60" w:lineRule="atLeast"/>
              <w:rPr>
                <w:b/>
              </w:rPr>
            </w:pPr>
            <w:r w:rsidRPr="008D0D56">
              <w:rPr>
                <w:b/>
              </w:rPr>
              <w:t>Total</w:t>
            </w:r>
          </w:p>
        </w:tc>
        <w:tc>
          <w:tcPr>
            <w:tcW w:w="1247" w:type="dxa"/>
          </w:tcPr>
          <w:p w:rsidR="008D0D56" w:rsidRPr="008D0D56" w:rsidRDefault="008D0D56" w:rsidP="008D0D56">
            <w:pPr>
              <w:spacing w:before="0"/>
              <w:jc w:val="right"/>
              <w:rPr>
                <w:b/>
              </w:rPr>
            </w:pPr>
            <w:r w:rsidRPr="008D0D56">
              <w:rPr>
                <w:b/>
              </w:rPr>
              <w:t>2,556</w:t>
            </w:r>
          </w:p>
        </w:tc>
        <w:tc>
          <w:tcPr>
            <w:tcW w:w="1247" w:type="dxa"/>
          </w:tcPr>
          <w:p w:rsidR="008D0D56" w:rsidRPr="008D0D56" w:rsidRDefault="008D0D56" w:rsidP="008D0D56">
            <w:pPr>
              <w:spacing w:before="0"/>
              <w:jc w:val="right"/>
              <w:rPr>
                <w:b/>
              </w:rPr>
            </w:pPr>
            <w:r w:rsidRPr="008D0D56">
              <w:rPr>
                <w:b/>
              </w:rPr>
              <w:t>15,028</w:t>
            </w:r>
          </w:p>
        </w:tc>
        <w:tc>
          <w:tcPr>
            <w:tcW w:w="1247" w:type="dxa"/>
          </w:tcPr>
          <w:p w:rsidR="008D0D56" w:rsidRPr="008D0D56" w:rsidRDefault="008D0D56" w:rsidP="008D0D56">
            <w:pPr>
              <w:spacing w:before="0"/>
              <w:jc w:val="right"/>
              <w:rPr>
                <w:b/>
              </w:rPr>
            </w:pPr>
            <w:r w:rsidRPr="008D0D56">
              <w:rPr>
                <w:b/>
              </w:rPr>
              <w:t>17%</w:t>
            </w:r>
          </w:p>
        </w:tc>
      </w:tr>
      <w:tr w:rsidR="008D0D56" w:rsidRPr="008D0D56" w:rsidTr="004879A1">
        <w:trPr>
          <w:trHeight w:val="283"/>
        </w:trPr>
        <w:tc>
          <w:tcPr>
            <w:tcW w:w="1134" w:type="dxa"/>
          </w:tcPr>
          <w:p w:rsidR="008D0D56" w:rsidRPr="008D0D56" w:rsidRDefault="008D0D56" w:rsidP="008D0D56">
            <w:pPr>
              <w:pStyle w:val="Tabletext"/>
              <w:spacing w:before="0" w:after="0" w:line="60" w:lineRule="atLeast"/>
              <w:rPr>
                <w:b/>
              </w:rPr>
            </w:pPr>
          </w:p>
        </w:tc>
        <w:tc>
          <w:tcPr>
            <w:tcW w:w="3458" w:type="dxa"/>
          </w:tcPr>
          <w:p w:rsidR="008D0D56" w:rsidRPr="008D0D56" w:rsidRDefault="008D0D56" w:rsidP="008D0D56">
            <w:pPr>
              <w:pStyle w:val="Tabletext"/>
              <w:spacing w:before="0" w:after="0" w:line="60" w:lineRule="atLeast"/>
            </w:pPr>
          </w:p>
        </w:tc>
        <w:tc>
          <w:tcPr>
            <w:tcW w:w="1247" w:type="dxa"/>
          </w:tcPr>
          <w:p w:rsidR="008D0D56" w:rsidRDefault="008D0D56" w:rsidP="008D0D56">
            <w:pPr>
              <w:spacing w:before="0"/>
              <w:jc w:val="right"/>
            </w:pPr>
          </w:p>
        </w:tc>
        <w:tc>
          <w:tcPr>
            <w:tcW w:w="1247" w:type="dxa"/>
          </w:tcPr>
          <w:p w:rsidR="008D0D56" w:rsidRDefault="008D0D56" w:rsidP="008D0D56">
            <w:pPr>
              <w:spacing w:before="0"/>
              <w:jc w:val="right"/>
            </w:pPr>
          </w:p>
        </w:tc>
        <w:tc>
          <w:tcPr>
            <w:tcW w:w="1247" w:type="dxa"/>
          </w:tcPr>
          <w:p w:rsidR="008D0D56" w:rsidRDefault="008D0D56" w:rsidP="008D0D56">
            <w:pPr>
              <w:spacing w:before="0"/>
              <w:jc w:val="right"/>
            </w:pPr>
          </w:p>
        </w:tc>
      </w:tr>
    </w:tbl>
    <w:p w:rsidR="00C12BB5" w:rsidRDefault="00C12BB5" w:rsidP="00C12BB5">
      <w:pPr>
        <w:pStyle w:val="TableSource"/>
      </w:pPr>
      <w:r>
        <w:t xml:space="preserve">Source: </w:t>
      </w:r>
      <w:r w:rsidR="00FC77AC">
        <w:t>NZIER analysis of council’s long term plans</w:t>
      </w:r>
    </w:p>
    <w:p w:rsidR="00C12BB5" w:rsidRPr="00D42C90" w:rsidRDefault="00C12BB5" w:rsidP="00C12BB5">
      <w:pPr>
        <w:pStyle w:val="Caption"/>
      </w:pPr>
      <w:bookmarkStart w:id="19" w:name="_Toc397341761"/>
      <w:r>
        <w:t xml:space="preserve">Table </w:t>
      </w:r>
      <w:fldSimple w:instr=" SEQ Table \* ARABIC ">
        <w:r>
          <w:rPr>
            <w:noProof/>
          </w:rPr>
          <w:t>2</w:t>
        </w:r>
      </w:fldSimple>
      <w:r>
        <w:t xml:space="preserve"> </w:t>
      </w:r>
      <w:r w:rsidR="00382C4A">
        <w:t>Capital spending for new and replacement assets</w:t>
      </w:r>
      <w:bookmarkEnd w:id="19"/>
    </w:p>
    <w:p w:rsidR="00C12BB5" w:rsidRDefault="00382C4A" w:rsidP="00C12BB5">
      <w:pPr>
        <w:pStyle w:val="Tablesubheading"/>
      </w:pPr>
      <w:r>
        <w:t>Planned total spending over the period 2015 to 2022</w:t>
      </w:r>
    </w:p>
    <w:tbl>
      <w:tblPr>
        <w:tblStyle w:val="NZIERTable"/>
        <w:tblW w:w="8333" w:type="dxa"/>
        <w:tblLook w:val="04A0" w:firstRow="1" w:lastRow="0" w:firstColumn="1" w:lastColumn="0" w:noHBand="0" w:noVBand="1"/>
      </w:tblPr>
      <w:tblGrid>
        <w:gridCol w:w="1134"/>
        <w:gridCol w:w="3458"/>
        <w:gridCol w:w="1247"/>
        <w:gridCol w:w="1247"/>
        <w:gridCol w:w="1247"/>
      </w:tblGrid>
      <w:tr w:rsidR="00386E7A" w:rsidRPr="00E6399E" w:rsidTr="00386E7A">
        <w:trPr>
          <w:cnfStyle w:val="100000000000" w:firstRow="1" w:lastRow="0" w:firstColumn="0" w:lastColumn="0" w:oddVBand="0" w:evenVBand="0" w:oddHBand="0" w:evenHBand="0" w:firstRowFirstColumn="0" w:firstRowLastColumn="0" w:lastRowFirstColumn="0" w:lastRowLastColumn="0"/>
          <w:trHeight w:val="1156"/>
        </w:trPr>
        <w:tc>
          <w:tcPr>
            <w:tcW w:w="1134" w:type="dxa"/>
          </w:tcPr>
          <w:p w:rsidR="00386E7A" w:rsidRPr="004D7536" w:rsidRDefault="00386E7A" w:rsidP="00386E7A">
            <w:pPr>
              <w:rPr>
                <w:rFonts w:cstheme="minorHAnsi"/>
                <w:b/>
                <w:szCs w:val="18"/>
              </w:rPr>
            </w:pPr>
            <w:r>
              <w:rPr>
                <w:rFonts w:cstheme="minorHAnsi"/>
                <w:b/>
                <w:szCs w:val="18"/>
              </w:rPr>
              <w:t>Council</w:t>
            </w:r>
          </w:p>
        </w:tc>
        <w:tc>
          <w:tcPr>
            <w:tcW w:w="3458" w:type="dxa"/>
          </w:tcPr>
          <w:p w:rsidR="00386E7A" w:rsidRDefault="00386E7A" w:rsidP="00386E7A">
            <w:pPr>
              <w:rPr>
                <w:rFonts w:cstheme="minorHAnsi"/>
                <w:b/>
                <w:szCs w:val="18"/>
              </w:rPr>
            </w:pPr>
            <w:r>
              <w:rPr>
                <w:rFonts w:cstheme="minorHAnsi"/>
                <w:b/>
                <w:szCs w:val="18"/>
              </w:rPr>
              <w:t>Activity</w:t>
            </w:r>
          </w:p>
        </w:tc>
        <w:tc>
          <w:tcPr>
            <w:tcW w:w="1247" w:type="dxa"/>
          </w:tcPr>
          <w:p w:rsidR="00386E7A" w:rsidRPr="004D7536" w:rsidRDefault="00386E7A" w:rsidP="00386E7A">
            <w:pPr>
              <w:rPr>
                <w:rFonts w:cstheme="minorHAnsi"/>
                <w:b/>
                <w:szCs w:val="18"/>
              </w:rPr>
            </w:pPr>
            <w:r>
              <w:rPr>
                <w:rFonts w:cstheme="minorHAnsi"/>
                <w:b/>
                <w:szCs w:val="18"/>
              </w:rPr>
              <w:t>New assets to improve service quality or scale</w:t>
            </w:r>
          </w:p>
        </w:tc>
        <w:tc>
          <w:tcPr>
            <w:tcW w:w="1247" w:type="dxa"/>
          </w:tcPr>
          <w:p w:rsidR="00386E7A" w:rsidRPr="004D7536" w:rsidRDefault="00386E7A" w:rsidP="00386E7A">
            <w:pPr>
              <w:rPr>
                <w:rFonts w:cstheme="minorHAnsi"/>
                <w:b/>
                <w:szCs w:val="18"/>
              </w:rPr>
            </w:pPr>
            <w:r>
              <w:rPr>
                <w:rFonts w:cstheme="minorHAnsi"/>
                <w:b/>
                <w:szCs w:val="18"/>
              </w:rPr>
              <w:t>Replacement of existing assets</w:t>
            </w:r>
          </w:p>
        </w:tc>
        <w:tc>
          <w:tcPr>
            <w:tcW w:w="1247" w:type="dxa"/>
          </w:tcPr>
          <w:p w:rsidR="00386E7A" w:rsidRPr="004D7536" w:rsidRDefault="00386E7A" w:rsidP="00386E7A">
            <w:pPr>
              <w:rPr>
                <w:rFonts w:cstheme="minorHAnsi"/>
                <w:b/>
                <w:szCs w:val="18"/>
              </w:rPr>
            </w:pPr>
            <w:r>
              <w:rPr>
                <w:rFonts w:cstheme="minorHAnsi"/>
                <w:b/>
                <w:szCs w:val="18"/>
              </w:rPr>
              <w:t>Total capital spending</w:t>
            </w:r>
          </w:p>
        </w:tc>
      </w:tr>
      <w:tr w:rsidR="00CB6CA9" w:rsidRPr="00E163F2" w:rsidTr="00115C17">
        <w:trPr>
          <w:trHeight w:val="283"/>
        </w:trPr>
        <w:tc>
          <w:tcPr>
            <w:tcW w:w="1134" w:type="dxa"/>
          </w:tcPr>
          <w:p w:rsidR="00CB6CA9" w:rsidRPr="006C5F86" w:rsidRDefault="00CB6CA9" w:rsidP="00386E7A">
            <w:pPr>
              <w:pStyle w:val="Tabletext"/>
              <w:spacing w:after="0" w:line="60" w:lineRule="atLeast"/>
              <w:rPr>
                <w:b/>
              </w:rPr>
            </w:pPr>
            <w:r w:rsidRPr="006C5F86">
              <w:rPr>
                <w:b/>
              </w:rPr>
              <w:t xml:space="preserve">Wellington </w:t>
            </w:r>
          </w:p>
        </w:tc>
        <w:tc>
          <w:tcPr>
            <w:tcW w:w="3458" w:type="dxa"/>
          </w:tcPr>
          <w:p w:rsidR="00CB6CA9" w:rsidRPr="00396F86" w:rsidRDefault="00CB6CA9" w:rsidP="00386E7A">
            <w:pPr>
              <w:spacing w:after="0"/>
            </w:pPr>
            <w:r w:rsidRPr="00396F86">
              <w:t>Gardens, beaches and green open spaces</w:t>
            </w:r>
          </w:p>
        </w:tc>
        <w:tc>
          <w:tcPr>
            <w:tcW w:w="1247" w:type="dxa"/>
          </w:tcPr>
          <w:p w:rsidR="00CB6CA9" w:rsidRPr="004B2D23" w:rsidRDefault="00CB6CA9" w:rsidP="00CB6CA9">
            <w:pPr>
              <w:spacing w:after="0"/>
              <w:jc w:val="right"/>
            </w:pPr>
            <w:r w:rsidRPr="004B2D23">
              <w:t xml:space="preserve">7,802 </w:t>
            </w:r>
          </w:p>
        </w:tc>
        <w:tc>
          <w:tcPr>
            <w:tcW w:w="1247" w:type="dxa"/>
          </w:tcPr>
          <w:p w:rsidR="00CB6CA9" w:rsidRPr="005E422D" w:rsidRDefault="00CB6CA9" w:rsidP="00CB6CA9">
            <w:pPr>
              <w:spacing w:after="0"/>
              <w:jc w:val="right"/>
            </w:pPr>
            <w:r w:rsidRPr="005E422D">
              <w:t xml:space="preserve">14,401 </w:t>
            </w:r>
          </w:p>
        </w:tc>
        <w:tc>
          <w:tcPr>
            <w:tcW w:w="1247" w:type="dxa"/>
          </w:tcPr>
          <w:p w:rsidR="00CB6CA9" w:rsidRPr="00524E0E" w:rsidRDefault="00CB6CA9" w:rsidP="00CB6CA9">
            <w:pPr>
              <w:spacing w:after="0"/>
              <w:jc w:val="right"/>
            </w:pPr>
            <w:r w:rsidRPr="00524E0E">
              <w:t xml:space="preserve">22,203 </w:t>
            </w:r>
          </w:p>
        </w:tc>
      </w:tr>
      <w:tr w:rsidR="00CB6CA9" w:rsidRPr="00E163F2" w:rsidTr="00115C17">
        <w:trPr>
          <w:trHeight w:val="283"/>
        </w:trPr>
        <w:tc>
          <w:tcPr>
            <w:tcW w:w="1134" w:type="dxa"/>
          </w:tcPr>
          <w:p w:rsidR="00CB6CA9" w:rsidRPr="00EA5A10" w:rsidRDefault="00CB6CA9" w:rsidP="00386E7A">
            <w:pPr>
              <w:pStyle w:val="Tabletext"/>
              <w:spacing w:after="0" w:line="60" w:lineRule="atLeast"/>
              <w:rPr>
                <w:b/>
              </w:rPr>
            </w:pPr>
          </w:p>
        </w:tc>
        <w:tc>
          <w:tcPr>
            <w:tcW w:w="3458" w:type="dxa"/>
          </w:tcPr>
          <w:p w:rsidR="00CB6CA9" w:rsidRPr="00396F86" w:rsidRDefault="00CB6CA9" w:rsidP="00386E7A">
            <w:pPr>
              <w:spacing w:after="0"/>
            </w:pPr>
            <w:r w:rsidRPr="00396F86">
              <w:t>Conservation attractions</w:t>
            </w:r>
          </w:p>
        </w:tc>
        <w:tc>
          <w:tcPr>
            <w:tcW w:w="1247" w:type="dxa"/>
          </w:tcPr>
          <w:p w:rsidR="00CB6CA9" w:rsidRPr="004B2D23" w:rsidRDefault="00CB6CA9" w:rsidP="00CB6CA9">
            <w:pPr>
              <w:spacing w:after="0"/>
              <w:jc w:val="right"/>
            </w:pPr>
            <w:r w:rsidRPr="004B2D23">
              <w:t xml:space="preserve">1,073 </w:t>
            </w:r>
          </w:p>
        </w:tc>
        <w:tc>
          <w:tcPr>
            <w:tcW w:w="1247" w:type="dxa"/>
          </w:tcPr>
          <w:p w:rsidR="00CB6CA9" w:rsidRPr="005E422D" w:rsidRDefault="00CB6CA9" w:rsidP="00CB6CA9">
            <w:pPr>
              <w:spacing w:after="0"/>
              <w:jc w:val="right"/>
            </w:pPr>
            <w:r w:rsidRPr="005E422D">
              <w:t xml:space="preserve">2,034 </w:t>
            </w:r>
          </w:p>
        </w:tc>
        <w:tc>
          <w:tcPr>
            <w:tcW w:w="1247" w:type="dxa"/>
          </w:tcPr>
          <w:p w:rsidR="00CB6CA9" w:rsidRPr="00524E0E" w:rsidRDefault="00CB6CA9" w:rsidP="00CB6CA9">
            <w:pPr>
              <w:spacing w:after="0"/>
              <w:jc w:val="right"/>
            </w:pPr>
            <w:r w:rsidRPr="00524E0E">
              <w:t xml:space="preserve">3,107 </w:t>
            </w:r>
          </w:p>
        </w:tc>
      </w:tr>
      <w:tr w:rsidR="00CB6CA9" w:rsidRPr="00E163F2" w:rsidTr="00115C17">
        <w:trPr>
          <w:trHeight w:val="192"/>
        </w:trPr>
        <w:tc>
          <w:tcPr>
            <w:tcW w:w="1134" w:type="dxa"/>
          </w:tcPr>
          <w:p w:rsidR="00CB6CA9" w:rsidRPr="00EA5A10" w:rsidRDefault="00CB6CA9" w:rsidP="00386E7A">
            <w:pPr>
              <w:pStyle w:val="Tabletext"/>
              <w:spacing w:after="0" w:line="60" w:lineRule="atLeast"/>
              <w:rPr>
                <w:b/>
              </w:rPr>
            </w:pPr>
          </w:p>
        </w:tc>
        <w:tc>
          <w:tcPr>
            <w:tcW w:w="3458" w:type="dxa"/>
          </w:tcPr>
          <w:p w:rsidR="00CB6CA9" w:rsidRPr="00396F86" w:rsidRDefault="00CB6CA9" w:rsidP="00386E7A">
            <w:pPr>
              <w:spacing w:after="0"/>
            </w:pPr>
            <w:r w:rsidRPr="00396F86">
              <w:t>Arts and culture activities</w:t>
            </w:r>
          </w:p>
        </w:tc>
        <w:tc>
          <w:tcPr>
            <w:tcW w:w="1247" w:type="dxa"/>
          </w:tcPr>
          <w:p w:rsidR="00CB6CA9" w:rsidRPr="004B2D23" w:rsidRDefault="00CB6CA9" w:rsidP="00CB6CA9">
            <w:pPr>
              <w:spacing w:after="0"/>
              <w:jc w:val="right"/>
            </w:pPr>
            <w:r w:rsidRPr="004B2D23">
              <w:t xml:space="preserve">316 </w:t>
            </w:r>
          </w:p>
        </w:tc>
        <w:tc>
          <w:tcPr>
            <w:tcW w:w="1247" w:type="dxa"/>
          </w:tcPr>
          <w:p w:rsidR="00CB6CA9" w:rsidRPr="005E422D" w:rsidRDefault="00CB6CA9" w:rsidP="00CB6CA9">
            <w:pPr>
              <w:spacing w:after="0"/>
              <w:jc w:val="right"/>
            </w:pPr>
            <w:r w:rsidRPr="005E422D">
              <w:t xml:space="preserve">66 </w:t>
            </w:r>
          </w:p>
        </w:tc>
        <w:tc>
          <w:tcPr>
            <w:tcW w:w="1247" w:type="dxa"/>
          </w:tcPr>
          <w:p w:rsidR="00CB6CA9" w:rsidRPr="00524E0E" w:rsidRDefault="00CB6CA9" w:rsidP="00CB6CA9">
            <w:pPr>
              <w:spacing w:after="0"/>
              <w:jc w:val="right"/>
            </w:pPr>
            <w:r w:rsidRPr="00524E0E">
              <w:t xml:space="preserve">382 </w:t>
            </w:r>
          </w:p>
        </w:tc>
      </w:tr>
      <w:tr w:rsidR="00CB6CA9" w:rsidRPr="00E163F2" w:rsidTr="00115C17">
        <w:trPr>
          <w:trHeight w:val="283"/>
        </w:trPr>
        <w:tc>
          <w:tcPr>
            <w:tcW w:w="1134" w:type="dxa"/>
          </w:tcPr>
          <w:p w:rsidR="00CB6CA9" w:rsidRPr="00EA5A10" w:rsidRDefault="00CB6CA9" w:rsidP="00386E7A">
            <w:pPr>
              <w:pStyle w:val="Tabletext"/>
              <w:spacing w:after="0" w:line="60" w:lineRule="atLeast"/>
              <w:rPr>
                <w:b/>
              </w:rPr>
            </w:pPr>
          </w:p>
        </w:tc>
        <w:tc>
          <w:tcPr>
            <w:tcW w:w="3458" w:type="dxa"/>
          </w:tcPr>
          <w:p w:rsidR="00CB6CA9" w:rsidRPr="00396F86" w:rsidRDefault="00CB6CA9" w:rsidP="00386E7A">
            <w:pPr>
              <w:spacing w:after="0"/>
            </w:pPr>
            <w:r>
              <w:t>R</w:t>
            </w:r>
            <w:r w:rsidRPr="00396F86">
              <w:t>ecreation promotion and support</w:t>
            </w:r>
          </w:p>
        </w:tc>
        <w:tc>
          <w:tcPr>
            <w:tcW w:w="1247" w:type="dxa"/>
          </w:tcPr>
          <w:p w:rsidR="00CB6CA9" w:rsidRPr="004B2D23" w:rsidRDefault="00CB6CA9" w:rsidP="00CB6CA9">
            <w:pPr>
              <w:spacing w:after="0"/>
              <w:jc w:val="right"/>
            </w:pPr>
            <w:r w:rsidRPr="004B2D23">
              <w:t xml:space="preserve">5,843 </w:t>
            </w:r>
          </w:p>
        </w:tc>
        <w:tc>
          <w:tcPr>
            <w:tcW w:w="1247" w:type="dxa"/>
          </w:tcPr>
          <w:p w:rsidR="00CB6CA9" w:rsidRPr="005E422D" w:rsidRDefault="00CB6CA9" w:rsidP="00CB6CA9">
            <w:pPr>
              <w:spacing w:after="0"/>
              <w:jc w:val="right"/>
            </w:pPr>
            <w:r w:rsidRPr="005E422D">
              <w:t xml:space="preserve">23,851 </w:t>
            </w:r>
          </w:p>
        </w:tc>
        <w:tc>
          <w:tcPr>
            <w:tcW w:w="1247" w:type="dxa"/>
          </w:tcPr>
          <w:p w:rsidR="00CB6CA9" w:rsidRPr="00524E0E" w:rsidRDefault="00CB6CA9" w:rsidP="00CB6CA9">
            <w:pPr>
              <w:spacing w:after="0"/>
              <w:jc w:val="right"/>
            </w:pPr>
            <w:r w:rsidRPr="00524E0E">
              <w:t xml:space="preserve">29,694 </w:t>
            </w:r>
          </w:p>
        </w:tc>
      </w:tr>
      <w:tr w:rsidR="00CB6CA9" w:rsidRPr="00E163F2" w:rsidTr="00115C17">
        <w:trPr>
          <w:trHeight w:val="283"/>
        </w:trPr>
        <w:tc>
          <w:tcPr>
            <w:tcW w:w="1134" w:type="dxa"/>
          </w:tcPr>
          <w:p w:rsidR="00CB6CA9" w:rsidRPr="00EA5A10" w:rsidRDefault="00CB6CA9" w:rsidP="00386E7A">
            <w:pPr>
              <w:pStyle w:val="Tabletext"/>
              <w:spacing w:after="0" w:line="60" w:lineRule="atLeast"/>
              <w:rPr>
                <w:b/>
              </w:rPr>
            </w:pPr>
          </w:p>
        </w:tc>
        <w:tc>
          <w:tcPr>
            <w:tcW w:w="3458" w:type="dxa"/>
          </w:tcPr>
          <w:p w:rsidR="00CB6CA9" w:rsidRPr="00396F86" w:rsidRDefault="00CB6CA9" w:rsidP="00386E7A">
            <w:pPr>
              <w:spacing w:after="0"/>
            </w:pPr>
            <w:r>
              <w:t>C</w:t>
            </w:r>
            <w:r w:rsidRPr="00396F86">
              <w:t>ommunity support</w:t>
            </w:r>
          </w:p>
        </w:tc>
        <w:tc>
          <w:tcPr>
            <w:tcW w:w="1247" w:type="dxa"/>
          </w:tcPr>
          <w:p w:rsidR="00CB6CA9" w:rsidRPr="004B2D23" w:rsidRDefault="00CB6CA9" w:rsidP="00CB6CA9">
            <w:pPr>
              <w:spacing w:after="0"/>
              <w:jc w:val="right"/>
            </w:pPr>
            <w:r w:rsidRPr="004B2D23">
              <w:t xml:space="preserve">83,353 </w:t>
            </w:r>
          </w:p>
        </w:tc>
        <w:tc>
          <w:tcPr>
            <w:tcW w:w="1247" w:type="dxa"/>
          </w:tcPr>
          <w:p w:rsidR="00CB6CA9" w:rsidRPr="005E422D" w:rsidRDefault="00CB6CA9" w:rsidP="00CB6CA9">
            <w:pPr>
              <w:spacing w:after="0"/>
              <w:jc w:val="right"/>
            </w:pPr>
            <w:r w:rsidRPr="005E422D">
              <w:t xml:space="preserve">60,401 </w:t>
            </w:r>
          </w:p>
        </w:tc>
        <w:tc>
          <w:tcPr>
            <w:tcW w:w="1247" w:type="dxa"/>
          </w:tcPr>
          <w:p w:rsidR="00CB6CA9" w:rsidRPr="00524E0E" w:rsidRDefault="00CB6CA9" w:rsidP="00CB6CA9">
            <w:pPr>
              <w:spacing w:after="0"/>
              <w:jc w:val="right"/>
            </w:pPr>
            <w:r w:rsidRPr="00524E0E">
              <w:t xml:space="preserve">143,754 </w:t>
            </w:r>
          </w:p>
        </w:tc>
      </w:tr>
      <w:tr w:rsidR="00CB6CA9" w:rsidRPr="00E163F2" w:rsidTr="00115C17">
        <w:trPr>
          <w:trHeight w:val="283"/>
        </w:trPr>
        <w:tc>
          <w:tcPr>
            <w:tcW w:w="1134" w:type="dxa"/>
          </w:tcPr>
          <w:p w:rsidR="00CB6CA9" w:rsidRPr="00EA5A10" w:rsidRDefault="00CB6CA9" w:rsidP="00386E7A">
            <w:pPr>
              <w:pStyle w:val="Tabletext"/>
              <w:spacing w:after="0" w:line="60" w:lineRule="atLeast"/>
              <w:rPr>
                <w:b/>
              </w:rPr>
            </w:pPr>
          </w:p>
        </w:tc>
        <w:tc>
          <w:tcPr>
            <w:tcW w:w="3458" w:type="dxa"/>
          </w:tcPr>
          <w:p w:rsidR="00CB6CA9" w:rsidRDefault="00CB6CA9" w:rsidP="00386E7A">
            <w:pPr>
              <w:spacing w:after="0"/>
            </w:pPr>
            <w:r w:rsidRPr="00396F86">
              <w:t>Urban planning, heritage and public spaces</w:t>
            </w:r>
          </w:p>
        </w:tc>
        <w:tc>
          <w:tcPr>
            <w:tcW w:w="1247" w:type="dxa"/>
          </w:tcPr>
          <w:p w:rsidR="00CB6CA9" w:rsidRPr="004B2D23" w:rsidRDefault="00CB6CA9" w:rsidP="00CB6CA9">
            <w:pPr>
              <w:spacing w:after="0"/>
              <w:jc w:val="right"/>
            </w:pPr>
            <w:r w:rsidRPr="004B2D23">
              <w:t xml:space="preserve">6,027 </w:t>
            </w:r>
          </w:p>
        </w:tc>
        <w:tc>
          <w:tcPr>
            <w:tcW w:w="1247" w:type="dxa"/>
          </w:tcPr>
          <w:p w:rsidR="00CB6CA9" w:rsidRPr="005E422D" w:rsidRDefault="00CB6CA9" w:rsidP="00CB6CA9">
            <w:pPr>
              <w:spacing w:after="0"/>
              <w:jc w:val="right"/>
            </w:pPr>
            <w:r w:rsidRPr="005E422D">
              <w:t xml:space="preserve">33,137 </w:t>
            </w:r>
          </w:p>
        </w:tc>
        <w:tc>
          <w:tcPr>
            <w:tcW w:w="1247" w:type="dxa"/>
          </w:tcPr>
          <w:p w:rsidR="00CB6CA9" w:rsidRPr="00524E0E" w:rsidRDefault="00CB6CA9" w:rsidP="00CB6CA9">
            <w:pPr>
              <w:spacing w:after="0"/>
              <w:jc w:val="right"/>
            </w:pPr>
            <w:r w:rsidRPr="00524E0E">
              <w:t xml:space="preserve">39,164 </w:t>
            </w:r>
          </w:p>
        </w:tc>
      </w:tr>
      <w:tr w:rsidR="00CB6CA9" w:rsidRPr="00E163F2" w:rsidTr="00386E7A">
        <w:trPr>
          <w:trHeight w:val="283"/>
        </w:trPr>
        <w:tc>
          <w:tcPr>
            <w:tcW w:w="1134" w:type="dxa"/>
          </w:tcPr>
          <w:p w:rsidR="00CB6CA9" w:rsidRPr="00EA5A10" w:rsidRDefault="00CB6CA9" w:rsidP="00386E7A">
            <w:pPr>
              <w:pStyle w:val="Tabletext"/>
              <w:spacing w:after="0" w:line="60" w:lineRule="atLeast"/>
              <w:rPr>
                <w:b/>
              </w:rPr>
            </w:pPr>
          </w:p>
        </w:tc>
        <w:tc>
          <w:tcPr>
            <w:tcW w:w="3458" w:type="dxa"/>
          </w:tcPr>
          <w:p w:rsidR="00CB6CA9" w:rsidRPr="00EA5A10" w:rsidRDefault="00CB6CA9" w:rsidP="00386E7A">
            <w:pPr>
              <w:spacing w:after="0" w:line="120" w:lineRule="atLeast"/>
              <w:rPr>
                <w:b/>
              </w:rPr>
            </w:pPr>
            <w:r w:rsidRPr="00EA5A10">
              <w:rPr>
                <w:b/>
              </w:rPr>
              <w:t xml:space="preserve">Total </w:t>
            </w:r>
          </w:p>
        </w:tc>
        <w:tc>
          <w:tcPr>
            <w:tcW w:w="1247" w:type="dxa"/>
          </w:tcPr>
          <w:p w:rsidR="00CB6CA9" w:rsidRPr="00CB6CA9" w:rsidRDefault="00CB6CA9" w:rsidP="00CB6CA9">
            <w:pPr>
              <w:spacing w:after="0"/>
              <w:jc w:val="right"/>
              <w:rPr>
                <w:b/>
              </w:rPr>
            </w:pPr>
            <w:r w:rsidRPr="00CB6CA9">
              <w:rPr>
                <w:b/>
              </w:rPr>
              <w:t>104,414</w:t>
            </w:r>
          </w:p>
        </w:tc>
        <w:tc>
          <w:tcPr>
            <w:tcW w:w="1247" w:type="dxa"/>
          </w:tcPr>
          <w:p w:rsidR="00CB6CA9" w:rsidRPr="00CB6CA9" w:rsidRDefault="00CB6CA9" w:rsidP="00CB6CA9">
            <w:pPr>
              <w:spacing w:after="0"/>
              <w:jc w:val="right"/>
              <w:rPr>
                <w:b/>
              </w:rPr>
            </w:pPr>
            <w:r w:rsidRPr="00CB6CA9">
              <w:rPr>
                <w:b/>
              </w:rPr>
              <w:t>133,890</w:t>
            </w:r>
          </w:p>
        </w:tc>
        <w:tc>
          <w:tcPr>
            <w:tcW w:w="1247" w:type="dxa"/>
          </w:tcPr>
          <w:p w:rsidR="00CB6CA9" w:rsidRPr="00CB6CA9" w:rsidRDefault="00CB6CA9" w:rsidP="00CB6CA9">
            <w:pPr>
              <w:spacing w:after="0"/>
              <w:jc w:val="right"/>
              <w:rPr>
                <w:b/>
              </w:rPr>
            </w:pPr>
            <w:r w:rsidRPr="00CB6CA9">
              <w:rPr>
                <w:b/>
              </w:rPr>
              <w:t>238,304</w:t>
            </w:r>
          </w:p>
        </w:tc>
      </w:tr>
      <w:tr w:rsidR="00CB6CA9" w:rsidRPr="00572771" w:rsidTr="00386E7A">
        <w:trPr>
          <w:trHeight w:val="283"/>
        </w:trPr>
        <w:tc>
          <w:tcPr>
            <w:tcW w:w="1134" w:type="dxa"/>
          </w:tcPr>
          <w:p w:rsidR="00CB6CA9" w:rsidRPr="00EA5A10" w:rsidRDefault="00CB6CA9" w:rsidP="00386E7A">
            <w:pPr>
              <w:pStyle w:val="Tabletext"/>
              <w:spacing w:after="0" w:line="60" w:lineRule="atLeast"/>
              <w:rPr>
                <w:b/>
              </w:rPr>
            </w:pPr>
          </w:p>
        </w:tc>
        <w:tc>
          <w:tcPr>
            <w:tcW w:w="3458" w:type="dxa"/>
          </w:tcPr>
          <w:p w:rsidR="00CB6CA9" w:rsidRPr="00572771" w:rsidRDefault="00CB6CA9" w:rsidP="00386E7A">
            <w:pPr>
              <w:pStyle w:val="Tabletext"/>
              <w:spacing w:after="0"/>
              <w:rPr>
                <w:b/>
              </w:rPr>
            </w:pPr>
          </w:p>
        </w:tc>
        <w:tc>
          <w:tcPr>
            <w:tcW w:w="1247" w:type="dxa"/>
          </w:tcPr>
          <w:p w:rsidR="00CB6CA9" w:rsidRPr="00572771" w:rsidRDefault="00CB6CA9" w:rsidP="00572771">
            <w:pPr>
              <w:spacing w:before="0"/>
              <w:jc w:val="right"/>
              <w:rPr>
                <w:b/>
                <w:kern w:val="20"/>
                <w:szCs w:val="18"/>
                <w:lang w:eastAsia="en-US"/>
              </w:rPr>
            </w:pPr>
          </w:p>
        </w:tc>
        <w:tc>
          <w:tcPr>
            <w:tcW w:w="1247" w:type="dxa"/>
          </w:tcPr>
          <w:p w:rsidR="00CB6CA9" w:rsidRPr="00572771" w:rsidRDefault="00CB6CA9" w:rsidP="00572771">
            <w:pPr>
              <w:spacing w:before="0"/>
              <w:jc w:val="right"/>
              <w:rPr>
                <w:b/>
                <w:kern w:val="20"/>
                <w:szCs w:val="18"/>
                <w:lang w:eastAsia="en-US"/>
              </w:rPr>
            </w:pPr>
          </w:p>
        </w:tc>
        <w:tc>
          <w:tcPr>
            <w:tcW w:w="1247" w:type="dxa"/>
          </w:tcPr>
          <w:p w:rsidR="00CB6CA9" w:rsidRPr="00572771" w:rsidRDefault="00CB6CA9" w:rsidP="00572771">
            <w:pPr>
              <w:spacing w:before="0"/>
              <w:jc w:val="right"/>
              <w:rPr>
                <w:b/>
                <w:kern w:val="20"/>
                <w:szCs w:val="18"/>
                <w:lang w:eastAsia="en-US"/>
              </w:rPr>
            </w:pPr>
          </w:p>
        </w:tc>
      </w:tr>
      <w:tr w:rsidR="004D59E9" w:rsidRPr="00E163F2" w:rsidTr="00386E7A">
        <w:trPr>
          <w:trHeight w:val="283"/>
        </w:trPr>
        <w:tc>
          <w:tcPr>
            <w:tcW w:w="1134" w:type="dxa"/>
          </w:tcPr>
          <w:p w:rsidR="004D59E9" w:rsidRPr="00411B84" w:rsidRDefault="004D59E9" w:rsidP="00386E7A">
            <w:pPr>
              <w:pStyle w:val="Tabletext"/>
              <w:spacing w:before="0" w:after="0"/>
              <w:rPr>
                <w:b/>
              </w:rPr>
            </w:pPr>
            <w:r w:rsidRPr="00411B84">
              <w:rPr>
                <w:b/>
              </w:rPr>
              <w:t>Lower Hutt</w:t>
            </w:r>
          </w:p>
        </w:tc>
        <w:tc>
          <w:tcPr>
            <w:tcW w:w="3458" w:type="dxa"/>
          </w:tcPr>
          <w:p w:rsidR="004D59E9" w:rsidRPr="0076492E" w:rsidRDefault="004D59E9" w:rsidP="00386E7A">
            <w:pPr>
              <w:spacing w:before="0" w:after="0"/>
            </w:pPr>
            <w:r w:rsidRPr="0076492E">
              <w:t>Libraries</w:t>
            </w:r>
          </w:p>
        </w:tc>
        <w:tc>
          <w:tcPr>
            <w:tcW w:w="1247" w:type="dxa"/>
          </w:tcPr>
          <w:p w:rsidR="004D59E9" w:rsidRPr="00BE7865" w:rsidRDefault="004D59E9" w:rsidP="004D59E9">
            <w:pPr>
              <w:spacing w:before="0"/>
              <w:jc w:val="right"/>
            </w:pPr>
            <w:r w:rsidRPr="00BE7865">
              <w:t xml:space="preserve">912 </w:t>
            </w:r>
          </w:p>
        </w:tc>
        <w:tc>
          <w:tcPr>
            <w:tcW w:w="1247" w:type="dxa"/>
          </w:tcPr>
          <w:p w:rsidR="004D59E9" w:rsidRPr="009E0F5B" w:rsidRDefault="004D59E9" w:rsidP="004D59E9">
            <w:pPr>
              <w:spacing w:before="0"/>
              <w:jc w:val="right"/>
            </w:pPr>
            <w:r w:rsidRPr="009E0F5B">
              <w:t xml:space="preserve">9,113 </w:t>
            </w:r>
          </w:p>
        </w:tc>
        <w:tc>
          <w:tcPr>
            <w:tcW w:w="1247" w:type="dxa"/>
          </w:tcPr>
          <w:p w:rsidR="004D59E9" w:rsidRPr="003A178B" w:rsidRDefault="004D59E9" w:rsidP="004D59E9">
            <w:pPr>
              <w:spacing w:before="0"/>
              <w:jc w:val="right"/>
            </w:pPr>
            <w:r w:rsidRPr="003A178B">
              <w:t xml:space="preserve">10,025 </w:t>
            </w:r>
          </w:p>
        </w:tc>
      </w:tr>
      <w:tr w:rsidR="004D59E9" w:rsidRPr="00EA5A10" w:rsidTr="00386E7A">
        <w:trPr>
          <w:trHeight w:val="196"/>
        </w:trPr>
        <w:tc>
          <w:tcPr>
            <w:tcW w:w="1134" w:type="dxa"/>
          </w:tcPr>
          <w:p w:rsidR="004D59E9" w:rsidRPr="004209DF" w:rsidRDefault="004D59E9" w:rsidP="00386E7A">
            <w:pPr>
              <w:pStyle w:val="Tabletext"/>
              <w:spacing w:before="0" w:after="0" w:line="60" w:lineRule="atLeast"/>
              <w:rPr>
                <w:b/>
              </w:rPr>
            </w:pPr>
          </w:p>
        </w:tc>
        <w:tc>
          <w:tcPr>
            <w:tcW w:w="3458" w:type="dxa"/>
          </w:tcPr>
          <w:p w:rsidR="004D59E9" w:rsidRPr="0076492E" w:rsidRDefault="004D59E9" w:rsidP="00386E7A">
            <w:pPr>
              <w:spacing w:before="0" w:after="0"/>
            </w:pPr>
            <w:r w:rsidRPr="0076492E">
              <w:t>Museums</w:t>
            </w:r>
          </w:p>
        </w:tc>
        <w:tc>
          <w:tcPr>
            <w:tcW w:w="1247" w:type="dxa"/>
          </w:tcPr>
          <w:p w:rsidR="004D59E9" w:rsidRPr="00BE7865" w:rsidRDefault="004D59E9" w:rsidP="004D59E9">
            <w:pPr>
              <w:spacing w:before="0"/>
              <w:jc w:val="right"/>
            </w:pPr>
            <w:r w:rsidRPr="00BE7865">
              <w:t xml:space="preserve">597 </w:t>
            </w:r>
          </w:p>
        </w:tc>
        <w:tc>
          <w:tcPr>
            <w:tcW w:w="1247" w:type="dxa"/>
          </w:tcPr>
          <w:p w:rsidR="004D59E9" w:rsidRPr="009E0F5B" w:rsidRDefault="004D59E9" w:rsidP="004D59E9">
            <w:pPr>
              <w:spacing w:before="0"/>
              <w:jc w:val="right"/>
            </w:pPr>
            <w:r w:rsidRPr="009E0F5B">
              <w:t xml:space="preserve">1,726 </w:t>
            </w:r>
          </w:p>
        </w:tc>
        <w:tc>
          <w:tcPr>
            <w:tcW w:w="1247" w:type="dxa"/>
          </w:tcPr>
          <w:p w:rsidR="004D59E9" w:rsidRPr="003A178B" w:rsidRDefault="004D59E9" w:rsidP="004D59E9">
            <w:pPr>
              <w:spacing w:before="0"/>
              <w:jc w:val="right"/>
            </w:pPr>
            <w:r w:rsidRPr="003A178B">
              <w:t xml:space="preserve">2,323 </w:t>
            </w:r>
          </w:p>
        </w:tc>
      </w:tr>
      <w:tr w:rsidR="004D59E9" w:rsidRPr="00E163F2" w:rsidTr="00386E7A">
        <w:trPr>
          <w:trHeight w:val="283"/>
        </w:trPr>
        <w:tc>
          <w:tcPr>
            <w:tcW w:w="1134" w:type="dxa"/>
          </w:tcPr>
          <w:p w:rsidR="004D59E9" w:rsidRPr="004209DF" w:rsidRDefault="004D59E9" w:rsidP="00386E7A">
            <w:pPr>
              <w:pStyle w:val="Tabletext"/>
              <w:spacing w:before="0" w:after="0" w:line="60" w:lineRule="atLeast"/>
              <w:rPr>
                <w:b/>
              </w:rPr>
            </w:pPr>
          </w:p>
        </w:tc>
        <w:tc>
          <w:tcPr>
            <w:tcW w:w="3458" w:type="dxa"/>
          </w:tcPr>
          <w:p w:rsidR="004D59E9" w:rsidRPr="0076492E" w:rsidRDefault="004D59E9" w:rsidP="00386E7A">
            <w:pPr>
              <w:spacing w:before="0" w:after="0"/>
            </w:pPr>
            <w:r w:rsidRPr="0076492E">
              <w:t>Aquatics and recreation</w:t>
            </w:r>
          </w:p>
        </w:tc>
        <w:tc>
          <w:tcPr>
            <w:tcW w:w="1247" w:type="dxa"/>
          </w:tcPr>
          <w:p w:rsidR="004D59E9" w:rsidRPr="00BE7865" w:rsidRDefault="004D59E9" w:rsidP="004D59E9">
            <w:pPr>
              <w:spacing w:before="0"/>
              <w:jc w:val="right"/>
            </w:pPr>
            <w:r w:rsidRPr="00BE7865">
              <w:t xml:space="preserve">20,394 </w:t>
            </w:r>
          </w:p>
        </w:tc>
        <w:tc>
          <w:tcPr>
            <w:tcW w:w="1247" w:type="dxa"/>
          </w:tcPr>
          <w:p w:rsidR="004D59E9" w:rsidRPr="009E0F5B" w:rsidRDefault="004D59E9" w:rsidP="004D59E9">
            <w:pPr>
              <w:spacing w:before="0"/>
              <w:jc w:val="right"/>
            </w:pPr>
            <w:r w:rsidRPr="009E0F5B">
              <w:t xml:space="preserve">7,533 </w:t>
            </w:r>
          </w:p>
        </w:tc>
        <w:tc>
          <w:tcPr>
            <w:tcW w:w="1247" w:type="dxa"/>
          </w:tcPr>
          <w:p w:rsidR="004D59E9" w:rsidRPr="003A178B" w:rsidRDefault="004D59E9" w:rsidP="004D59E9">
            <w:pPr>
              <w:spacing w:before="0"/>
              <w:jc w:val="right"/>
            </w:pPr>
            <w:r w:rsidRPr="003A178B">
              <w:t xml:space="preserve">27,927 </w:t>
            </w:r>
          </w:p>
        </w:tc>
      </w:tr>
      <w:tr w:rsidR="004D59E9" w:rsidRPr="00E163F2" w:rsidTr="00386E7A">
        <w:trPr>
          <w:trHeight w:val="283"/>
        </w:trPr>
        <w:tc>
          <w:tcPr>
            <w:tcW w:w="1134" w:type="dxa"/>
          </w:tcPr>
          <w:p w:rsidR="004D59E9" w:rsidRPr="004209DF" w:rsidRDefault="004D59E9" w:rsidP="00386E7A">
            <w:pPr>
              <w:pStyle w:val="Tabletext"/>
              <w:spacing w:before="0" w:after="0" w:line="60" w:lineRule="atLeast"/>
              <w:rPr>
                <w:b/>
              </w:rPr>
            </w:pPr>
          </w:p>
        </w:tc>
        <w:tc>
          <w:tcPr>
            <w:tcW w:w="3458" w:type="dxa"/>
          </w:tcPr>
          <w:p w:rsidR="004D59E9" w:rsidRPr="0076492E" w:rsidRDefault="004D59E9" w:rsidP="00386E7A">
            <w:pPr>
              <w:spacing w:before="0" w:after="0"/>
            </w:pPr>
            <w:r w:rsidRPr="0076492E">
              <w:t>Parks and Reserves</w:t>
            </w:r>
          </w:p>
        </w:tc>
        <w:tc>
          <w:tcPr>
            <w:tcW w:w="1247" w:type="dxa"/>
          </w:tcPr>
          <w:p w:rsidR="004D59E9" w:rsidRPr="00BE7865" w:rsidRDefault="004D59E9" w:rsidP="004D59E9">
            <w:pPr>
              <w:spacing w:before="0"/>
              <w:jc w:val="right"/>
            </w:pPr>
            <w:r w:rsidRPr="00BE7865">
              <w:t xml:space="preserve">18,196 </w:t>
            </w:r>
          </w:p>
        </w:tc>
        <w:tc>
          <w:tcPr>
            <w:tcW w:w="1247" w:type="dxa"/>
          </w:tcPr>
          <w:p w:rsidR="004D59E9" w:rsidRPr="009E0F5B" w:rsidRDefault="004D59E9" w:rsidP="004D59E9">
            <w:pPr>
              <w:spacing w:before="0"/>
              <w:jc w:val="right"/>
            </w:pPr>
            <w:r w:rsidRPr="009E0F5B">
              <w:t xml:space="preserve">2,434 </w:t>
            </w:r>
          </w:p>
        </w:tc>
        <w:tc>
          <w:tcPr>
            <w:tcW w:w="1247" w:type="dxa"/>
          </w:tcPr>
          <w:p w:rsidR="004D59E9" w:rsidRPr="003A178B" w:rsidRDefault="004D59E9" w:rsidP="004D59E9">
            <w:pPr>
              <w:spacing w:before="0"/>
              <w:jc w:val="right"/>
            </w:pPr>
            <w:r w:rsidRPr="003A178B">
              <w:t xml:space="preserve">20,630 </w:t>
            </w:r>
          </w:p>
        </w:tc>
      </w:tr>
      <w:tr w:rsidR="004D59E9" w:rsidRPr="00E163F2" w:rsidTr="00386E7A">
        <w:trPr>
          <w:trHeight w:val="283"/>
        </w:trPr>
        <w:tc>
          <w:tcPr>
            <w:tcW w:w="1134" w:type="dxa"/>
          </w:tcPr>
          <w:p w:rsidR="004D59E9" w:rsidRPr="004209DF" w:rsidRDefault="004D59E9" w:rsidP="00386E7A">
            <w:pPr>
              <w:pStyle w:val="Tabletext"/>
              <w:spacing w:before="0" w:after="0" w:line="60" w:lineRule="atLeast"/>
              <w:rPr>
                <w:b/>
              </w:rPr>
            </w:pPr>
          </w:p>
        </w:tc>
        <w:tc>
          <w:tcPr>
            <w:tcW w:w="3458" w:type="dxa"/>
          </w:tcPr>
          <w:p w:rsidR="004D59E9" w:rsidRDefault="004D59E9" w:rsidP="00386E7A">
            <w:pPr>
              <w:spacing w:before="0" w:after="0"/>
            </w:pPr>
            <w:r w:rsidRPr="0076492E">
              <w:t>Community Development</w:t>
            </w:r>
          </w:p>
        </w:tc>
        <w:tc>
          <w:tcPr>
            <w:tcW w:w="1247" w:type="dxa"/>
          </w:tcPr>
          <w:p w:rsidR="004D59E9" w:rsidRPr="00BE7865" w:rsidRDefault="004D59E9" w:rsidP="004D59E9">
            <w:pPr>
              <w:spacing w:before="0"/>
              <w:jc w:val="right"/>
            </w:pPr>
            <w:r w:rsidRPr="00BE7865">
              <w:t xml:space="preserve">227 </w:t>
            </w:r>
          </w:p>
        </w:tc>
        <w:tc>
          <w:tcPr>
            <w:tcW w:w="1247" w:type="dxa"/>
          </w:tcPr>
          <w:p w:rsidR="004D59E9" w:rsidRPr="009E0F5B" w:rsidRDefault="004D59E9" w:rsidP="004D59E9">
            <w:pPr>
              <w:spacing w:before="0"/>
              <w:jc w:val="right"/>
            </w:pPr>
            <w:r w:rsidRPr="009E0F5B">
              <w:t xml:space="preserve">816 </w:t>
            </w:r>
          </w:p>
        </w:tc>
        <w:tc>
          <w:tcPr>
            <w:tcW w:w="1247" w:type="dxa"/>
          </w:tcPr>
          <w:p w:rsidR="004D59E9" w:rsidRPr="003A178B" w:rsidRDefault="004D59E9" w:rsidP="004D59E9">
            <w:pPr>
              <w:spacing w:before="0"/>
              <w:jc w:val="right"/>
            </w:pPr>
            <w:r w:rsidRPr="003A178B">
              <w:t xml:space="preserve">1,043 </w:t>
            </w:r>
          </w:p>
        </w:tc>
      </w:tr>
      <w:tr w:rsidR="004D59E9" w:rsidRPr="00E163F2" w:rsidTr="00386E7A">
        <w:trPr>
          <w:trHeight w:val="283"/>
        </w:trPr>
        <w:tc>
          <w:tcPr>
            <w:tcW w:w="1134" w:type="dxa"/>
          </w:tcPr>
          <w:p w:rsidR="004D59E9" w:rsidRPr="004209DF" w:rsidRDefault="004D59E9" w:rsidP="00386E7A">
            <w:pPr>
              <w:pStyle w:val="Tabletext"/>
              <w:spacing w:before="0" w:after="0" w:line="60" w:lineRule="atLeast"/>
              <w:rPr>
                <w:b/>
              </w:rPr>
            </w:pPr>
          </w:p>
        </w:tc>
        <w:tc>
          <w:tcPr>
            <w:tcW w:w="3458" w:type="dxa"/>
          </w:tcPr>
          <w:p w:rsidR="004D59E9" w:rsidRPr="004209DF" w:rsidRDefault="004D59E9" w:rsidP="00386E7A">
            <w:pPr>
              <w:pStyle w:val="Tabletext"/>
              <w:spacing w:before="0" w:after="0" w:line="60" w:lineRule="atLeast"/>
              <w:rPr>
                <w:b/>
              </w:rPr>
            </w:pPr>
            <w:r w:rsidRPr="00EA5A10">
              <w:rPr>
                <w:b/>
              </w:rPr>
              <w:t>Total</w:t>
            </w:r>
          </w:p>
        </w:tc>
        <w:tc>
          <w:tcPr>
            <w:tcW w:w="1247" w:type="dxa"/>
          </w:tcPr>
          <w:p w:rsidR="004D59E9" w:rsidRPr="004D59E9" w:rsidRDefault="004D59E9" w:rsidP="004D59E9">
            <w:pPr>
              <w:spacing w:before="0"/>
              <w:jc w:val="right"/>
              <w:rPr>
                <w:b/>
              </w:rPr>
            </w:pPr>
            <w:r w:rsidRPr="004D59E9">
              <w:rPr>
                <w:b/>
              </w:rPr>
              <w:t>40,326</w:t>
            </w:r>
          </w:p>
        </w:tc>
        <w:tc>
          <w:tcPr>
            <w:tcW w:w="1247" w:type="dxa"/>
          </w:tcPr>
          <w:p w:rsidR="004D59E9" w:rsidRPr="004D59E9" w:rsidRDefault="004D59E9" w:rsidP="004D59E9">
            <w:pPr>
              <w:spacing w:before="0"/>
              <w:jc w:val="right"/>
              <w:rPr>
                <w:b/>
              </w:rPr>
            </w:pPr>
            <w:r w:rsidRPr="004D59E9">
              <w:rPr>
                <w:b/>
              </w:rPr>
              <w:t>21,622</w:t>
            </w:r>
          </w:p>
        </w:tc>
        <w:tc>
          <w:tcPr>
            <w:tcW w:w="1247" w:type="dxa"/>
          </w:tcPr>
          <w:p w:rsidR="004D59E9" w:rsidRPr="004D59E9" w:rsidRDefault="004D59E9" w:rsidP="004D59E9">
            <w:pPr>
              <w:spacing w:before="0"/>
              <w:jc w:val="right"/>
              <w:rPr>
                <w:b/>
              </w:rPr>
            </w:pPr>
            <w:r w:rsidRPr="004D59E9">
              <w:rPr>
                <w:b/>
              </w:rPr>
              <w:t>61,948</w:t>
            </w:r>
          </w:p>
        </w:tc>
      </w:tr>
      <w:tr w:rsidR="004D59E9" w:rsidRPr="00572771" w:rsidTr="00386E7A">
        <w:trPr>
          <w:trHeight w:val="283"/>
        </w:trPr>
        <w:tc>
          <w:tcPr>
            <w:tcW w:w="1134" w:type="dxa"/>
          </w:tcPr>
          <w:p w:rsidR="004D59E9" w:rsidRPr="004879A1" w:rsidRDefault="004D59E9" w:rsidP="00572771">
            <w:pPr>
              <w:pStyle w:val="Tabletext"/>
              <w:spacing w:after="0" w:line="60" w:lineRule="atLeast"/>
              <w:rPr>
                <w:b/>
              </w:rPr>
            </w:pPr>
          </w:p>
        </w:tc>
        <w:tc>
          <w:tcPr>
            <w:tcW w:w="3458" w:type="dxa"/>
          </w:tcPr>
          <w:p w:rsidR="004D59E9" w:rsidRPr="004879A1" w:rsidRDefault="004D59E9" w:rsidP="00572771">
            <w:pPr>
              <w:pStyle w:val="Tabletext"/>
              <w:spacing w:after="0" w:line="60" w:lineRule="atLeast"/>
              <w:rPr>
                <w:b/>
              </w:rPr>
            </w:pPr>
          </w:p>
        </w:tc>
        <w:tc>
          <w:tcPr>
            <w:tcW w:w="1247" w:type="dxa"/>
          </w:tcPr>
          <w:p w:rsidR="004D59E9" w:rsidRDefault="004D59E9" w:rsidP="00572771">
            <w:pPr>
              <w:spacing w:before="0"/>
              <w:jc w:val="right"/>
            </w:pPr>
          </w:p>
        </w:tc>
        <w:tc>
          <w:tcPr>
            <w:tcW w:w="1247" w:type="dxa"/>
          </w:tcPr>
          <w:p w:rsidR="004D59E9" w:rsidRPr="00572771" w:rsidRDefault="004D59E9" w:rsidP="00572771">
            <w:pPr>
              <w:spacing w:before="0" w:after="0" w:line="60" w:lineRule="atLeast"/>
              <w:jc w:val="right"/>
            </w:pPr>
          </w:p>
        </w:tc>
        <w:tc>
          <w:tcPr>
            <w:tcW w:w="1247" w:type="dxa"/>
          </w:tcPr>
          <w:p w:rsidR="004D59E9" w:rsidRDefault="004D59E9" w:rsidP="00572771">
            <w:pPr>
              <w:spacing w:before="0"/>
              <w:jc w:val="right"/>
            </w:pPr>
          </w:p>
        </w:tc>
      </w:tr>
      <w:tr w:rsidR="0012597A" w:rsidRPr="00E163F2" w:rsidTr="00386E7A">
        <w:trPr>
          <w:trHeight w:val="283"/>
        </w:trPr>
        <w:tc>
          <w:tcPr>
            <w:tcW w:w="1134" w:type="dxa"/>
          </w:tcPr>
          <w:p w:rsidR="0012597A" w:rsidRPr="004209DF" w:rsidRDefault="0012597A" w:rsidP="00386E7A">
            <w:pPr>
              <w:pStyle w:val="Tabletext"/>
              <w:rPr>
                <w:b/>
              </w:rPr>
            </w:pPr>
            <w:r w:rsidRPr="004209DF">
              <w:rPr>
                <w:b/>
              </w:rPr>
              <w:t>Upper Hutt</w:t>
            </w:r>
          </w:p>
        </w:tc>
        <w:tc>
          <w:tcPr>
            <w:tcW w:w="3458" w:type="dxa"/>
          </w:tcPr>
          <w:p w:rsidR="0012597A" w:rsidRPr="00A12D88" w:rsidRDefault="0012597A" w:rsidP="00386E7A">
            <w:pPr>
              <w:spacing w:after="0"/>
            </w:pPr>
            <w:r w:rsidRPr="00A12D88">
              <w:t>Community dev</w:t>
            </w:r>
            <w:r>
              <w:t>e</w:t>
            </w:r>
            <w:r w:rsidRPr="00A12D88">
              <w:t>lopment</w:t>
            </w:r>
          </w:p>
        </w:tc>
        <w:tc>
          <w:tcPr>
            <w:tcW w:w="1247" w:type="dxa"/>
          </w:tcPr>
          <w:p w:rsidR="0012597A" w:rsidRPr="00CD039D" w:rsidRDefault="0012597A" w:rsidP="0012597A">
            <w:pPr>
              <w:spacing w:before="0"/>
              <w:jc w:val="right"/>
            </w:pPr>
            <w:r w:rsidRPr="00CD039D">
              <w:t xml:space="preserve">454 </w:t>
            </w:r>
          </w:p>
        </w:tc>
        <w:tc>
          <w:tcPr>
            <w:tcW w:w="1247" w:type="dxa"/>
          </w:tcPr>
          <w:p w:rsidR="0012597A" w:rsidRPr="00D50FA7" w:rsidRDefault="0012597A" w:rsidP="0012597A">
            <w:pPr>
              <w:spacing w:before="0"/>
              <w:jc w:val="right"/>
            </w:pPr>
            <w:r w:rsidRPr="00D50FA7">
              <w:t xml:space="preserve">381 </w:t>
            </w:r>
          </w:p>
        </w:tc>
        <w:tc>
          <w:tcPr>
            <w:tcW w:w="1247" w:type="dxa"/>
          </w:tcPr>
          <w:p w:rsidR="0012597A" w:rsidRPr="00377230" w:rsidRDefault="0012597A" w:rsidP="0012597A">
            <w:pPr>
              <w:spacing w:before="0"/>
              <w:jc w:val="right"/>
            </w:pPr>
            <w:r w:rsidRPr="00377230">
              <w:t xml:space="preserve">835 </w:t>
            </w:r>
          </w:p>
        </w:tc>
      </w:tr>
      <w:tr w:rsidR="0012597A" w:rsidRPr="00E163F2" w:rsidTr="00386E7A">
        <w:trPr>
          <w:trHeight w:val="283"/>
        </w:trPr>
        <w:tc>
          <w:tcPr>
            <w:tcW w:w="1134" w:type="dxa"/>
          </w:tcPr>
          <w:p w:rsidR="0012597A" w:rsidRPr="007A6A3D" w:rsidRDefault="0012597A" w:rsidP="00386E7A">
            <w:pPr>
              <w:pStyle w:val="Tabletext"/>
              <w:spacing w:before="0" w:after="0" w:line="60" w:lineRule="atLeast"/>
              <w:rPr>
                <w:b/>
              </w:rPr>
            </w:pPr>
          </w:p>
        </w:tc>
        <w:tc>
          <w:tcPr>
            <w:tcW w:w="3458" w:type="dxa"/>
          </w:tcPr>
          <w:p w:rsidR="0012597A" w:rsidRDefault="0012597A" w:rsidP="00386E7A">
            <w:pPr>
              <w:spacing w:after="0"/>
            </w:pPr>
            <w:r w:rsidRPr="00A12D88">
              <w:t>Facilities</w:t>
            </w:r>
          </w:p>
        </w:tc>
        <w:tc>
          <w:tcPr>
            <w:tcW w:w="1247" w:type="dxa"/>
          </w:tcPr>
          <w:p w:rsidR="0012597A" w:rsidRPr="00CD039D" w:rsidRDefault="0012597A" w:rsidP="0012597A">
            <w:pPr>
              <w:spacing w:before="0"/>
              <w:jc w:val="right"/>
            </w:pPr>
            <w:r w:rsidRPr="00CD039D">
              <w:t xml:space="preserve">6,832 </w:t>
            </w:r>
          </w:p>
        </w:tc>
        <w:tc>
          <w:tcPr>
            <w:tcW w:w="1247" w:type="dxa"/>
          </w:tcPr>
          <w:p w:rsidR="0012597A" w:rsidRPr="00D50FA7" w:rsidRDefault="0012597A" w:rsidP="0012597A">
            <w:pPr>
              <w:spacing w:before="0"/>
              <w:jc w:val="right"/>
            </w:pPr>
            <w:r w:rsidRPr="00D50FA7">
              <w:t xml:space="preserve">3,012 </w:t>
            </w:r>
          </w:p>
        </w:tc>
        <w:tc>
          <w:tcPr>
            <w:tcW w:w="1247" w:type="dxa"/>
          </w:tcPr>
          <w:p w:rsidR="0012597A" w:rsidRPr="00377230" w:rsidRDefault="0012597A" w:rsidP="0012597A">
            <w:pPr>
              <w:spacing w:before="0"/>
              <w:jc w:val="right"/>
            </w:pPr>
            <w:r w:rsidRPr="00377230">
              <w:t xml:space="preserve">9,844 </w:t>
            </w:r>
          </w:p>
        </w:tc>
      </w:tr>
      <w:tr w:rsidR="0012597A" w:rsidRPr="0012597A" w:rsidTr="00386E7A">
        <w:trPr>
          <w:trHeight w:val="283"/>
        </w:trPr>
        <w:tc>
          <w:tcPr>
            <w:tcW w:w="1134" w:type="dxa"/>
          </w:tcPr>
          <w:p w:rsidR="0012597A" w:rsidRPr="007A6A3D" w:rsidRDefault="0012597A" w:rsidP="00386E7A">
            <w:pPr>
              <w:pStyle w:val="Tabletext"/>
              <w:spacing w:after="0" w:line="60" w:lineRule="atLeast"/>
              <w:rPr>
                <w:b/>
              </w:rPr>
            </w:pPr>
          </w:p>
        </w:tc>
        <w:tc>
          <w:tcPr>
            <w:tcW w:w="3458" w:type="dxa"/>
          </w:tcPr>
          <w:p w:rsidR="0012597A" w:rsidRPr="004879A1" w:rsidRDefault="0012597A" w:rsidP="00386E7A">
            <w:pPr>
              <w:spacing w:after="0" w:line="120" w:lineRule="atLeast"/>
              <w:rPr>
                <w:b/>
                <w:kern w:val="20"/>
                <w:szCs w:val="18"/>
                <w:lang w:eastAsia="en-US"/>
              </w:rPr>
            </w:pPr>
            <w:r w:rsidRPr="004879A1">
              <w:rPr>
                <w:b/>
                <w:kern w:val="20"/>
                <w:szCs w:val="18"/>
                <w:lang w:eastAsia="en-US"/>
              </w:rPr>
              <w:t>Total</w:t>
            </w:r>
          </w:p>
        </w:tc>
        <w:tc>
          <w:tcPr>
            <w:tcW w:w="1247" w:type="dxa"/>
          </w:tcPr>
          <w:p w:rsidR="0012597A" w:rsidRPr="0012597A" w:rsidRDefault="0012597A" w:rsidP="0012597A">
            <w:pPr>
              <w:spacing w:before="0"/>
              <w:jc w:val="right"/>
              <w:rPr>
                <w:b/>
              </w:rPr>
            </w:pPr>
            <w:r w:rsidRPr="0012597A">
              <w:rPr>
                <w:b/>
              </w:rPr>
              <w:t>7,286</w:t>
            </w:r>
          </w:p>
        </w:tc>
        <w:tc>
          <w:tcPr>
            <w:tcW w:w="1247" w:type="dxa"/>
          </w:tcPr>
          <w:p w:rsidR="0012597A" w:rsidRPr="0012597A" w:rsidRDefault="0012597A" w:rsidP="0012597A">
            <w:pPr>
              <w:spacing w:before="0"/>
              <w:jc w:val="right"/>
              <w:rPr>
                <w:b/>
              </w:rPr>
            </w:pPr>
            <w:r w:rsidRPr="0012597A">
              <w:rPr>
                <w:b/>
              </w:rPr>
              <w:t>3,393</w:t>
            </w:r>
          </w:p>
        </w:tc>
        <w:tc>
          <w:tcPr>
            <w:tcW w:w="1247" w:type="dxa"/>
          </w:tcPr>
          <w:p w:rsidR="0012597A" w:rsidRPr="0012597A" w:rsidRDefault="0012597A" w:rsidP="0012597A">
            <w:pPr>
              <w:spacing w:before="0"/>
              <w:jc w:val="right"/>
              <w:rPr>
                <w:b/>
              </w:rPr>
            </w:pPr>
            <w:r w:rsidRPr="0012597A">
              <w:rPr>
                <w:b/>
              </w:rPr>
              <w:t>10,679</w:t>
            </w:r>
          </w:p>
        </w:tc>
      </w:tr>
      <w:tr w:rsidR="0012597A" w:rsidRPr="00572771" w:rsidTr="00386E7A">
        <w:trPr>
          <w:trHeight w:val="283"/>
        </w:trPr>
        <w:tc>
          <w:tcPr>
            <w:tcW w:w="1134" w:type="dxa"/>
          </w:tcPr>
          <w:p w:rsidR="0012597A" w:rsidRPr="008D0D56" w:rsidRDefault="0012597A" w:rsidP="00386E7A">
            <w:pPr>
              <w:pStyle w:val="Tabletext"/>
              <w:spacing w:before="0" w:after="0" w:line="60" w:lineRule="atLeast"/>
              <w:rPr>
                <w:b/>
              </w:rPr>
            </w:pPr>
          </w:p>
        </w:tc>
        <w:tc>
          <w:tcPr>
            <w:tcW w:w="3458" w:type="dxa"/>
          </w:tcPr>
          <w:p w:rsidR="0012597A" w:rsidRPr="00572771" w:rsidRDefault="0012597A" w:rsidP="00386E7A">
            <w:pPr>
              <w:pStyle w:val="Tabletext"/>
              <w:spacing w:before="0" w:after="0" w:line="60" w:lineRule="atLeast"/>
              <w:rPr>
                <w:b/>
              </w:rPr>
            </w:pPr>
          </w:p>
        </w:tc>
        <w:tc>
          <w:tcPr>
            <w:tcW w:w="1247" w:type="dxa"/>
          </w:tcPr>
          <w:p w:rsidR="0012597A" w:rsidRPr="00572771" w:rsidRDefault="0012597A" w:rsidP="00115C17">
            <w:pPr>
              <w:rPr>
                <w:b/>
                <w:kern w:val="20"/>
                <w:szCs w:val="18"/>
                <w:lang w:eastAsia="en-US"/>
              </w:rPr>
            </w:pPr>
          </w:p>
        </w:tc>
        <w:tc>
          <w:tcPr>
            <w:tcW w:w="1247" w:type="dxa"/>
          </w:tcPr>
          <w:p w:rsidR="0012597A" w:rsidRPr="00572771" w:rsidRDefault="0012597A" w:rsidP="00115C17">
            <w:pPr>
              <w:rPr>
                <w:b/>
                <w:kern w:val="20"/>
                <w:szCs w:val="18"/>
                <w:lang w:eastAsia="en-US"/>
              </w:rPr>
            </w:pPr>
          </w:p>
        </w:tc>
        <w:tc>
          <w:tcPr>
            <w:tcW w:w="1247" w:type="dxa"/>
          </w:tcPr>
          <w:p w:rsidR="0012597A" w:rsidRPr="00572771" w:rsidRDefault="0012597A" w:rsidP="00115C17">
            <w:pPr>
              <w:rPr>
                <w:b/>
                <w:kern w:val="20"/>
                <w:szCs w:val="18"/>
                <w:lang w:eastAsia="en-US"/>
              </w:rPr>
            </w:pPr>
          </w:p>
        </w:tc>
      </w:tr>
      <w:tr w:rsidR="00572771" w:rsidRPr="008D0D56" w:rsidTr="00386E7A">
        <w:trPr>
          <w:trHeight w:val="283"/>
        </w:trPr>
        <w:tc>
          <w:tcPr>
            <w:tcW w:w="1134" w:type="dxa"/>
          </w:tcPr>
          <w:p w:rsidR="00572771" w:rsidRPr="008D0D56" w:rsidRDefault="00572771" w:rsidP="00386E7A">
            <w:pPr>
              <w:pStyle w:val="Tabletext"/>
              <w:spacing w:before="0" w:after="0" w:line="60" w:lineRule="atLeast"/>
              <w:rPr>
                <w:b/>
              </w:rPr>
            </w:pPr>
            <w:r w:rsidRPr="008D0D56">
              <w:rPr>
                <w:b/>
              </w:rPr>
              <w:t>Porirua City</w:t>
            </w:r>
          </w:p>
        </w:tc>
        <w:tc>
          <w:tcPr>
            <w:tcW w:w="3458" w:type="dxa"/>
          </w:tcPr>
          <w:p w:rsidR="00572771" w:rsidRPr="00967977" w:rsidRDefault="00572771" w:rsidP="00386E7A">
            <w:pPr>
              <w:spacing w:after="0"/>
            </w:pPr>
            <w:r w:rsidRPr="00967977">
              <w:t>Arts &amp; Heritage</w:t>
            </w:r>
          </w:p>
        </w:tc>
        <w:tc>
          <w:tcPr>
            <w:tcW w:w="1247" w:type="dxa"/>
          </w:tcPr>
          <w:p w:rsidR="00572771" w:rsidRPr="004374B3" w:rsidRDefault="00572771" w:rsidP="00386E7A">
            <w:pPr>
              <w:spacing w:before="0"/>
              <w:jc w:val="right"/>
            </w:pPr>
          </w:p>
        </w:tc>
        <w:tc>
          <w:tcPr>
            <w:tcW w:w="1247" w:type="dxa"/>
          </w:tcPr>
          <w:p w:rsidR="00572771" w:rsidRPr="009C249C" w:rsidRDefault="00572771" w:rsidP="00386E7A">
            <w:pPr>
              <w:spacing w:before="0"/>
              <w:jc w:val="right"/>
            </w:pPr>
          </w:p>
        </w:tc>
        <w:tc>
          <w:tcPr>
            <w:tcW w:w="1247" w:type="dxa"/>
          </w:tcPr>
          <w:p w:rsidR="00572771" w:rsidRPr="00AB08A0" w:rsidRDefault="00572771" w:rsidP="00572771">
            <w:pPr>
              <w:spacing w:before="0"/>
              <w:jc w:val="right"/>
            </w:pPr>
            <w:r w:rsidRPr="00AB08A0">
              <w:t xml:space="preserve">183 </w:t>
            </w:r>
          </w:p>
        </w:tc>
      </w:tr>
      <w:tr w:rsidR="00572771" w:rsidRPr="008D0D56" w:rsidTr="00386E7A">
        <w:trPr>
          <w:trHeight w:val="283"/>
        </w:trPr>
        <w:tc>
          <w:tcPr>
            <w:tcW w:w="1134" w:type="dxa"/>
          </w:tcPr>
          <w:p w:rsidR="00572771" w:rsidRPr="008D0D56" w:rsidRDefault="00572771" w:rsidP="00386E7A">
            <w:pPr>
              <w:pStyle w:val="Tabletext"/>
              <w:spacing w:before="0" w:after="0" w:line="60" w:lineRule="atLeast"/>
              <w:rPr>
                <w:b/>
              </w:rPr>
            </w:pPr>
          </w:p>
        </w:tc>
        <w:tc>
          <w:tcPr>
            <w:tcW w:w="3458" w:type="dxa"/>
          </w:tcPr>
          <w:p w:rsidR="00572771" w:rsidRPr="00967977" w:rsidRDefault="00572771" w:rsidP="00386E7A">
            <w:pPr>
              <w:spacing w:after="0"/>
            </w:pPr>
            <w:r w:rsidRPr="00967977">
              <w:t>Libraries</w:t>
            </w:r>
          </w:p>
        </w:tc>
        <w:tc>
          <w:tcPr>
            <w:tcW w:w="1247" w:type="dxa"/>
          </w:tcPr>
          <w:p w:rsidR="00572771" w:rsidRPr="004374B3" w:rsidRDefault="00572771" w:rsidP="00386E7A">
            <w:pPr>
              <w:spacing w:before="0"/>
              <w:jc w:val="right"/>
            </w:pPr>
          </w:p>
        </w:tc>
        <w:tc>
          <w:tcPr>
            <w:tcW w:w="1247" w:type="dxa"/>
          </w:tcPr>
          <w:p w:rsidR="00572771" w:rsidRPr="009C249C" w:rsidRDefault="00572771" w:rsidP="00386E7A">
            <w:pPr>
              <w:spacing w:before="0"/>
              <w:jc w:val="right"/>
            </w:pPr>
          </w:p>
        </w:tc>
        <w:tc>
          <w:tcPr>
            <w:tcW w:w="1247" w:type="dxa"/>
          </w:tcPr>
          <w:p w:rsidR="00572771" w:rsidRPr="00AB08A0" w:rsidRDefault="00572771" w:rsidP="00572771">
            <w:pPr>
              <w:spacing w:before="0"/>
              <w:jc w:val="right"/>
            </w:pPr>
            <w:r w:rsidRPr="00AB08A0">
              <w:t xml:space="preserve">3,416 </w:t>
            </w:r>
          </w:p>
        </w:tc>
      </w:tr>
      <w:tr w:rsidR="00572771" w:rsidRPr="008D0D56" w:rsidTr="00386E7A">
        <w:trPr>
          <w:trHeight w:val="283"/>
        </w:trPr>
        <w:tc>
          <w:tcPr>
            <w:tcW w:w="1134" w:type="dxa"/>
          </w:tcPr>
          <w:p w:rsidR="00572771" w:rsidRPr="008D0D56" w:rsidRDefault="00572771" w:rsidP="00386E7A">
            <w:pPr>
              <w:pStyle w:val="Tabletext"/>
              <w:spacing w:before="0" w:after="0" w:line="60" w:lineRule="atLeast"/>
              <w:rPr>
                <w:b/>
              </w:rPr>
            </w:pPr>
          </w:p>
        </w:tc>
        <w:tc>
          <w:tcPr>
            <w:tcW w:w="3458" w:type="dxa"/>
          </w:tcPr>
          <w:p w:rsidR="00572771" w:rsidRPr="00967977" w:rsidRDefault="00572771" w:rsidP="00386E7A">
            <w:pPr>
              <w:spacing w:after="0"/>
            </w:pPr>
            <w:r w:rsidRPr="00967977">
              <w:t>Community Recreation Programmes</w:t>
            </w:r>
          </w:p>
        </w:tc>
        <w:tc>
          <w:tcPr>
            <w:tcW w:w="1247" w:type="dxa"/>
          </w:tcPr>
          <w:p w:rsidR="00572771" w:rsidRPr="004374B3" w:rsidRDefault="00572771" w:rsidP="00386E7A">
            <w:pPr>
              <w:spacing w:before="0"/>
              <w:jc w:val="right"/>
            </w:pPr>
          </w:p>
        </w:tc>
        <w:tc>
          <w:tcPr>
            <w:tcW w:w="1247" w:type="dxa"/>
          </w:tcPr>
          <w:p w:rsidR="00572771" w:rsidRPr="009C249C" w:rsidRDefault="00572771" w:rsidP="00386E7A">
            <w:pPr>
              <w:spacing w:before="0"/>
              <w:jc w:val="right"/>
            </w:pPr>
          </w:p>
        </w:tc>
        <w:tc>
          <w:tcPr>
            <w:tcW w:w="1247" w:type="dxa"/>
          </w:tcPr>
          <w:p w:rsidR="00572771" w:rsidRPr="00AB08A0" w:rsidRDefault="00572771" w:rsidP="00572771">
            <w:pPr>
              <w:spacing w:before="0"/>
              <w:jc w:val="right"/>
            </w:pPr>
          </w:p>
        </w:tc>
      </w:tr>
      <w:tr w:rsidR="00572771" w:rsidRPr="008D0D56" w:rsidTr="00386E7A">
        <w:trPr>
          <w:trHeight w:val="283"/>
        </w:trPr>
        <w:tc>
          <w:tcPr>
            <w:tcW w:w="1134" w:type="dxa"/>
          </w:tcPr>
          <w:p w:rsidR="00572771" w:rsidRPr="008D0D56" w:rsidRDefault="00572771" w:rsidP="00386E7A">
            <w:pPr>
              <w:pStyle w:val="Tabletext"/>
              <w:spacing w:before="0" w:after="0" w:line="60" w:lineRule="atLeast"/>
              <w:rPr>
                <w:b/>
              </w:rPr>
            </w:pPr>
          </w:p>
        </w:tc>
        <w:tc>
          <w:tcPr>
            <w:tcW w:w="3458" w:type="dxa"/>
          </w:tcPr>
          <w:p w:rsidR="00572771" w:rsidRPr="00967977" w:rsidRDefault="00572771" w:rsidP="00386E7A">
            <w:pPr>
              <w:spacing w:after="0"/>
            </w:pPr>
            <w:r w:rsidRPr="00967977">
              <w:t>Indoor Recreation</w:t>
            </w:r>
          </w:p>
        </w:tc>
        <w:tc>
          <w:tcPr>
            <w:tcW w:w="1247" w:type="dxa"/>
          </w:tcPr>
          <w:p w:rsidR="00572771" w:rsidRPr="004374B3" w:rsidRDefault="00572771" w:rsidP="00386E7A">
            <w:pPr>
              <w:spacing w:before="0"/>
              <w:jc w:val="right"/>
            </w:pPr>
          </w:p>
        </w:tc>
        <w:tc>
          <w:tcPr>
            <w:tcW w:w="1247" w:type="dxa"/>
          </w:tcPr>
          <w:p w:rsidR="00572771" w:rsidRPr="009C249C" w:rsidRDefault="00572771" w:rsidP="00386E7A">
            <w:pPr>
              <w:spacing w:before="0"/>
              <w:jc w:val="right"/>
            </w:pPr>
          </w:p>
        </w:tc>
        <w:tc>
          <w:tcPr>
            <w:tcW w:w="1247" w:type="dxa"/>
          </w:tcPr>
          <w:p w:rsidR="00572771" w:rsidRPr="00AB08A0" w:rsidRDefault="00572771" w:rsidP="00572771">
            <w:pPr>
              <w:spacing w:before="0"/>
              <w:jc w:val="right"/>
            </w:pPr>
            <w:r w:rsidRPr="00AB08A0">
              <w:t xml:space="preserve">1,422 </w:t>
            </w:r>
          </w:p>
        </w:tc>
      </w:tr>
      <w:tr w:rsidR="00572771" w:rsidRPr="008D0D56" w:rsidTr="00386E7A">
        <w:trPr>
          <w:trHeight w:val="283"/>
        </w:trPr>
        <w:tc>
          <w:tcPr>
            <w:tcW w:w="1134" w:type="dxa"/>
          </w:tcPr>
          <w:p w:rsidR="00572771" w:rsidRPr="008D0D56" w:rsidRDefault="00572771" w:rsidP="00386E7A">
            <w:pPr>
              <w:pStyle w:val="Tabletext"/>
              <w:spacing w:before="0" w:after="0" w:line="60" w:lineRule="atLeast"/>
              <w:rPr>
                <w:b/>
              </w:rPr>
            </w:pPr>
          </w:p>
        </w:tc>
        <w:tc>
          <w:tcPr>
            <w:tcW w:w="3458" w:type="dxa"/>
          </w:tcPr>
          <w:p w:rsidR="00572771" w:rsidRPr="00967977" w:rsidRDefault="00572771" w:rsidP="00386E7A">
            <w:pPr>
              <w:spacing w:after="0"/>
            </w:pPr>
            <w:r w:rsidRPr="00967977">
              <w:t>Sports Fields &amp; Outdoor Courts</w:t>
            </w:r>
          </w:p>
        </w:tc>
        <w:tc>
          <w:tcPr>
            <w:tcW w:w="1247" w:type="dxa"/>
          </w:tcPr>
          <w:p w:rsidR="00572771" w:rsidRPr="004374B3" w:rsidRDefault="00572771" w:rsidP="00386E7A">
            <w:pPr>
              <w:spacing w:before="0"/>
              <w:jc w:val="right"/>
            </w:pPr>
          </w:p>
        </w:tc>
        <w:tc>
          <w:tcPr>
            <w:tcW w:w="1247" w:type="dxa"/>
          </w:tcPr>
          <w:p w:rsidR="00572771" w:rsidRPr="009C249C" w:rsidRDefault="00572771" w:rsidP="00386E7A">
            <w:pPr>
              <w:spacing w:before="0"/>
              <w:jc w:val="right"/>
            </w:pPr>
          </w:p>
        </w:tc>
        <w:tc>
          <w:tcPr>
            <w:tcW w:w="1247" w:type="dxa"/>
          </w:tcPr>
          <w:p w:rsidR="00572771" w:rsidRPr="00AB08A0" w:rsidRDefault="00572771" w:rsidP="00572771">
            <w:pPr>
              <w:spacing w:before="0"/>
              <w:jc w:val="right"/>
            </w:pPr>
            <w:r w:rsidRPr="00AB08A0">
              <w:t xml:space="preserve">3,108 </w:t>
            </w:r>
          </w:p>
        </w:tc>
      </w:tr>
      <w:tr w:rsidR="00572771" w:rsidRPr="008D0D56" w:rsidTr="00386E7A">
        <w:trPr>
          <w:trHeight w:val="283"/>
        </w:trPr>
        <w:tc>
          <w:tcPr>
            <w:tcW w:w="1134" w:type="dxa"/>
          </w:tcPr>
          <w:p w:rsidR="00572771" w:rsidRPr="008D0D56" w:rsidRDefault="00572771" w:rsidP="00386E7A">
            <w:pPr>
              <w:pStyle w:val="Tabletext"/>
              <w:spacing w:before="0" w:after="0" w:line="60" w:lineRule="atLeast"/>
              <w:rPr>
                <w:b/>
              </w:rPr>
            </w:pPr>
          </w:p>
        </w:tc>
        <w:tc>
          <w:tcPr>
            <w:tcW w:w="3458" w:type="dxa"/>
          </w:tcPr>
          <w:p w:rsidR="00572771" w:rsidRPr="00967977" w:rsidRDefault="00572771" w:rsidP="00386E7A">
            <w:pPr>
              <w:spacing w:after="0"/>
            </w:pPr>
            <w:r w:rsidRPr="00967977">
              <w:t>City Landscape</w:t>
            </w:r>
          </w:p>
        </w:tc>
        <w:tc>
          <w:tcPr>
            <w:tcW w:w="1247" w:type="dxa"/>
          </w:tcPr>
          <w:p w:rsidR="00572771" w:rsidRPr="004374B3" w:rsidRDefault="00572771" w:rsidP="00386E7A">
            <w:pPr>
              <w:spacing w:before="0"/>
              <w:jc w:val="right"/>
            </w:pPr>
          </w:p>
        </w:tc>
        <w:tc>
          <w:tcPr>
            <w:tcW w:w="1247" w:type="dxa"/>
          </w:tcPr>
          <w:p w:rsidR="00572771" w:rsidRPr="009C249C" w:rsidRDefault="00572771" w:rsidP="00386E7A">
            <w:pPr>
              <w:spacing w:before="0"/>
              <w:jc w:val="right"/>
            </w:pPr>
          </w:p>
        </w:tc>
        <w:tc>
          <w:tcPr>
            <w:tcW w:w="1247" w:type="dxa"/>
          </w:tcPr>
          <w:p w:rsidR="00572771" w:rsidRPr="00AB08A0" w:rsidRDefault="00572771" w:rsidP="00572771">
            <w:pPr>
              <w:spacing w:before="0"/>
              <w:jc w:val="right"/>
            </w:pPr>
            <w:r w:rsidRPr="00AB08A0">
              <w:t xml:space="preserve">5,842 </w:t>
            </w:r>
          </w:p>
        </w:tc>
      </w:tr>
      <w:tr w:rsidR="00572771" w:rsidRPr="008D0D56" w:rsidTr="00386E7A">
        <w:trPr>
          <w:trHeight w:val="283"/>
        </w:trPr>
        <w:tc>
          <w:tcPr>
            <w:tcW w:w="1134" w:type="dxa"/>
          </w:tcPr>
          <w:p w:rsidR="00572771" w:rsidRPr="008D0D56" w:rsidRDefault="00572771" w:rsidP="00386E7A">
            <w:pPr>
              <w:pStyle w:val="Tabletext"/>
              <w:spacing w:before="0" w:after="0" w:line="60" w:lineRule="atLeast"/>
              <w:rPr>
                <w:b/>
              </w:rPr>
            </w:pPr>
          </w:p>
        </w:tc>
        <w:tc>
          <w:tcPr>
            <w:tcW w:w="3458" w:type="dxa"/>
          </w:tcPr>
          <w:p w:rsidR="00572771" w:rsidRDefault="00572771" w:rsidP="00386E7A">
            <w:pPr>
              <w:spacing w:after="0"/>
            </w:pPr>
            <w:r w:rsidRPr="00967977">
              <w:t>Council Property (democratic process)</w:t>
            </w:r>
          </w:p>
        </w:tc>
        <w:tc>
          <w:tcPr>
            <w:tcW w:w="1247" w:type="dxa"/>
          </w:tcPr>
          <w:p w:rsidR="00572771" w:rsidRPr="004374B3" w:rsidRDefault="00572771" w:rsidP="00386E7A">
            <w:pPr>
              <w:spacing w:before="0"/>
              <w:jc w:val="right"/>
            </w:pPr>
          </w:p>
        </w:tc>
        <w:tc>
          <w:tcPr>
            <w:tcW w:w="1247" w:type="dxa"/>
          </w:tcPr>
          <w:p w:rsidR="00572771" w:rsidRPr="009C249C" w:rsidRDefault="00572771" w:rsidP="00386E7A">
            <w:pPr>
              <w:spacing w:before="0"/>
              <w:jc w:val="right"/>
            </w:pPr>
          </w:p>
        </w:tc>
        <w:tc>
          <w:tcPr>
            <w:tcW w:w="1247" w:type="dxa"/>
          </w:tcPr>
          <w:p w:rsidR="00572771" w:rsidRPr="00AB08A0" w:rsidRDefault="00572771" w:rsidP="00572771">
            <w:pPr>
              <w:spacing w:before="0"/>
              <w:jc w:val="right"/>
            </w:pPr>
            <w:r w:rsidRPr="00AB08A0">
              <w:t xml:space="preserve">27,125 </w:t>
            </w:r>
          </w:p>
        </w:tc>
      </w:tr>
      <w:tr w:rsidR="00572771" w:rsidRPr="00E93BF5" w:rsidTr="00386E7A">
        <w:trPr>
          <w:trHeight w:val="283"/>
        </w:trPr>
        <w:tc>
          <w:tcPr>
            <w:tcW w:w="1134" w:type="dxa"/>
          </w:tcPr>
          <w:p w:rsidR="00572771" w:rsidRPr="008D0D56" w:rsidRDefault="00572771" w:rsidP="00386E7A">
            <w:pPr>
              <w:pStyle w:val="Tabletext"/>
              <w:spacing w:before="0" w:after="0" w:line="60" w:lineRule="atLeast"/>
              <w:rPr>
                <w:b/>
              </w:rPr>
            </w:pPr>
          </w:p>
        </w:tc>
        <w:tc>
          <w:tcPr>
            <w:tcW w:w="3458" w:type="dxa"/>
          </w:tcPr>
          <w:p w:rsidR="00572771" w:rsidRPr="008D0D56" w:rsidRDefault="00572771" w:rsidP="00386E7A">
            <w:pPr>
              <w:pStyle w:val="Tabletext"/>
              <w:spacing w:before="0" w:after="0" w:line="60" w:lineRule="atLeast"/>
              <w:rPr>
                <w:b/>
              </w:rPr>
            </w:pPr>
            <w:r w:rsidRPr="008D0D56">
              <w:rPr>
                <w:b/>
              </w:rPr>
              <w:t>Total</w:t>
            </w:r>
          </w:p>
        </w:tc>
        <w:tc>
          <w:tcPr>
            <w:tcW w:w="1247" w:type="dxa"/>
          </w:tcPr>
          <w:p w:rsidR="00572771" w:rsidRPr="008D0D56" w:rsidRDefault="00572771" w:rsidP="00386E7A">
            <w:pPr>
              <w:spacing w:before="0"/>
              <w:jc w:val="right"/>
              <w:rPr>
                <w:b/>
              </w:rPr>
            </w:pPr>
          </w:p>
        </w:tc>
        <w:tc>
          <w:tcPr>
            <w:tcW w:w="1247" w:type="dxa"/>
          </w:tcPr>
          <w:p w:rsidR="00572771" w:rsidRPr="00E93BF5" w:rsidRDefault="00572771" w:rsidP="00386E7A">
            <w:pPr>
              <w:spacing w:before="0"/>
              <w:jc w:val="right"/>
              <w:rPr>
                <w:b/>
              </w:rPr>
            </w:pPr>
          </w:p>
        </w:tc>
        <w:tc>
          <w:tcPr>
            <w:tcW w:w="1247" w:type="dxa"/>
          </w:tcPr>
          <w:p w:rsidR="00572771" w:rsidRPr="00572771" w:rsidRDefault="00572771" w:rsidP="00572771">
            <w:pPr>
              <w:spacing w:before="0"/>
              <w:jc w:val="right"/>
              <w:rPr>
                <w:b/>
              </w:rPr>
            </w:pPr>
            <w:r w:rsidRPr="00572771">
              <w:rPr>
                <w:b/>
              </w:rPr>
              <w:t>41,096</w:t>
            </w:r>
          </w:p>
        </w:tc>
      </w:tr>
      <w:tr w:rsidR="00572771" w:rsidRPr="00572771" w:rsidTr="00572771">
        <w:trPr>
          <w:trHeight w:val="287"/>
        </w:trPr>
        <w:tc>
          <w:tcPr>
            <w:tcW w:w="1134" w:type="dxa"/>
          </w:tcPr>
          <w:p w:rsidR="00572771" w:rsidRPr="008D0D56" w:rsidRDefault="00572771" w:rsidP="00386E7A">
            <w:pPr>
              <w:pStyle w:val="Tabletext"/>
              <w:spacing w:before="0" w:after="0" w:line="60" w:lineRule="atLeast"/>
              <w:rPr>
                <w:b/>
              </w:rPr>
            </w:pPr>
          </w:p>
        </w:tc>
        <w:tc>
          <w:tcPr>
            <w:tcW w:w="3458" w:type="dxa"/>
          </w:tcPr>
          <w:p w:rsidR="00572771" w:rsidRPr="00572771" w:rsidRDefault="00572771" w:rsidP="00386E7A">
            <w:pPr>
              <w:pStyle w:val="Tabletext"/>
              <w:spacing w:before="0" w:after="0" w:line="60" w:lineRule="atLeast"/>
              <w:rPr>
                <w:b/>
              </w:rPr>
            </w:pPr>
          </w:p>
        </w:tc>
        <w:tc>
          <w:tcPr>
            <w:tcW w:w="1247" w:type="dxa"/>
          </w:tcPr>
          <w:p w:rsidR="00572771" w:rsidRPr="00572771" w:rsidRDefault="00572771" w:rsidP="00572771">
            <w:pPr>
              <w:spacing w:after="0"/>
              <w:jc w:val="right"/>
              <w:rPr>
                <w:b/>
                <w:kern w:val="20"/>
                <w:szCs w:val="18"/>
                <w:lang w:eastAsia="en-US"/>
              </w:rPr>
            </w:pPr>
          </w:p>
        </w:tc>
        <w:tc>
          <w:tcPr>
            <w:tcW w:w="1247" w:type="dxa"/>
          </w:tcPr>
          <w:p w:rsidR="00572771" w:rsidRPr="00572771" w:rsidRDefault="00572771" w:rsidP="00572771">
            <w:pPr>
              <w:spacing w:after="0"/>
              <w:jc w:val="right"/>
              <w:rPr>
                <w:b/>
                <w:kern w:val="20"/>
                <w:szCs w:val="18"/>
                <w:lang w:eastAsia="en-US"/>
              </w:rPr>
            </w:pPr>
          </w:p>
        </w:tc>
        <w:tc>
          <w:tcPr>
            <w:tcW w:w="1247" w:type="dxa"/>
          </w:tcPr>
          <w:p w:rsidR="00572771" w:rsidRPr="00572771" w:rsidRDefault="00572771" w:rsidP="00572771">
            <w:pPr>
              <w:spacing w:after="0"/>
              <w:jc w:val="right"/>
              <w:rPr>
                <w:b/>
                <w:kern w:val="20"/>
                <w:szCs w:val="18"/>
                <w:lang w:eastAsia="en-US"/>
              </w:rPr>
            </w:pPr>
          </w:p>
        </w:tc>
      </w:tr>
      <w:tr w:rsidR="006A5FFE" w:rsidRPr="008D0D56" w:rsidTr="00386E7A">
        <w:trPr>
          <w:trHeight w:val="283"/>
        </w:trPr>
        <w:tc>
          <w:tcPr>
            <w:tcW w:w="1134" w:type="dxa"/>
          </w:tcPr>
          <w:p w:rsidR="006A5FFE" w:rsidRPr="008D0D56" w:rsidRDefault="006A5FFE" w:rsidP="00386E7A">
            <w:pPr>
              <w:pStyle w:val="Tabletext"/>
              <w:spacing w:before="0" w:after="0" w:line="60" w:lineRule="atLeast"/>
              <w:rPr>
                <w:b/>
              </w:rPr>
            </w:pPr>
            <w:r w:rsidRPr="008D0D56">
              <w:rPr>
                <w:b/>
              </w:rPr>
              <w:t>Kapiti Coast</w:t>
            </w:r>
          </w:p>
        </w:tc>
        <w:tc>
          <w:tcPr>
            <w:tcW w:w="3458" w:type="dxa"/>
          </w:tcPr>
          <w:p w:rsidR="006A5FFE" w:rsidRPr="008305FD" w:rsidRDefault="006A5FFE" w:rsidP="00386E7A">
            <w:pPr>
              <w:pStyle w:val="Tabletext"/>
              <w:spacing w:before="0" w:after="0" w:line="60" w:lineRule="atLeast"/>
            </w:pPr>
            <w:r w:rsidRPr="008305FD">
              <w:t>Community Assets (includes pools)</w:t>
            </w:r>
          </w:p>
        </w:tc>
        <w:tc>
          <w:tcPr>
            <w:tcW w:w="1247" w:type="dxa"/>
          </w:tcPr>
          <w:p w:rsidR="006A5FFE" w:rsidRPr="001B5442" w:rsidRDefault="006A5FFE" w:rsidP="006A5FFE">
            <w:pPr>
              <w:spacing w:before="0"/>
              <w:jc w:val="right"/>
            </w:pPr>
            <w:r w:rsidRPr="001B5442">
              <w:t xml:space="preserve">682 </w:t>
            </w:r>
          </w:p>
        </w:tc>
        <w:tc>
          <w:tcPr>
            <w:tcW w:w="1247" w:type="dxa"/>
          </w:tcPr>
          <w:p w:rsidR="006A5FFE" w:rsidRPr="00E30BC9" w:rsidRDefault="006A5FFE" w:rsidP="006A5FFE">
            <w:pPr>
              <w:spacing w:before="0"/>
              <w:jc w:val="right"/>
            </w:pPr>
            <w:r w:rsidRPr="00E30BC9">
              <w:t xml:space="preserve">5,770 </w:t>
            </w:r>
          </w:p>
        </w:tc>
        <w:tc>
          <w:tcPr>
            <w:tcW w:w="1247" w:type="dxa"/>
          </w:tcPr>
          <w:p w:rsidR="006A5FFE" w:rsidRPr="009407AA" w:rsidRDefault="006A5FFE" w:rsidP="006A5FFE">
            <w:pPr>
              <w:spacing w:before="0"/>
              <w:jc w:val="right"/>
            </w:pPr>
            <w:r w:rsidRPr="009407AA">
              <w:t xml:space="preserve">6,452 </w:t>
            </w:r>
          </w:p>
        </w:tc>
      </w:tr>
      <w:tr w:rsidR="006A5FFE" w:rsidRPr="008D0D56" w:rsidTr="00386E7A">
        <w:trPr>
          <w:trHeight w:val="283"/>
        </w:trPr>
        <w:tc>
          <w:tcPr>
            <w:tcW w:w="1134" w:type="dxa"/>
          </w:tcPr>
          <w:p w:rsidR="006A5FFE" w:rsidRPr="008D0D56" w:rsidRDefault="006A5FFE" w:rsidP="00386E7A">
            <w:pPr>
              <w:pStyle w:val="Tabletext"/>
              <w:spacing w:before="0" w:after="0" w:line="60" w:lineRule="atLeast"/>
              <w:rPr>
                <w:b/>
              </w:rPr>
            </w:pPr>
          </w:p>
        </w:tc>
        <w:tc>
          <w:tcPr>
            <w:tcW w:w="3458" w:type="dxa"/>
          </w:tcPr>
          <w:p w:rsidR="006A5FFE" w:rsidRPr="008D0D56" w:rsidRDefault="006A5FFE" w:rsidP="00386E7A">
            <w:pPr>
              <w:pStyle w:val="Tabletext"/>
              <w:spacing w:before="0" w:after="0" w:line="60" w:lineRule="atLeast"/>
            </w:pPr>
            <w:r w:rsidRPr="008D0D56">
              <w:t>Libraries Museum &amp; Art</w:t>
            </w:r>
          </w:p>
        </w:tc>
        <w:tc>
          <w:tcPr>
            <w:tcW w:w="1247" w:type="dxa"/>
          </w:tcPr>
          <w:p w:rsidR="006A5FFE" w:rsidRPr="001B5442" w:rsidRDefault="006A5FFE" w:rsidP="006A5FFE">
            <w:pPr>
              <w:spacing w:before="0"/>
              <w:jc w:val="right"/>
            </w:pPr>
            <w:r w:rsidRPr="001B5442">
              <w:t xml:space="preserve">12,405 </w:t>
            </w:r>
          </w:p>
        </w:tc>
        <w:tc>
          <w:tcPr>
            <w:tcW w:w="1247" w:type="dxa"/>
          </w:tcPr>
          <w:p w:rsidR="006A5FFE" w:rsidRPr="00E30BC9" w:rsidRDefault="006A5FFE" w:rsidP="006A5FFE">
            <w:pPr>
              <w:spacing w:before="0"/>
              <w:jc w:val="right"/>
            </w:pPr>
            <w:r w:rsidRPr="00E30BC9">
              <w:t xml:space="preserve">1,359 </w:t>
            </w:r>
          </w:p>
        </w:tc>
        <w:tc>
          <w:tcPr>
            <w:tcW w:w="1247" w:type="dxa"/>
          </w:tcPr>
          <w:p w:rsidR="006A5FFE" w:rsidRPr="009407AA" w:rsidRDefault="006A5FFE" w:rsidP="006A5FFE">
            <w:pPr>
              <w:spacing w:before="0"/>
              <w:jc w:val="right"/>
            </w:pPr>
            <w:r w:rsidRPr="009407AA">
              <w:t xml:space="preserve">13,764 </w:t>
            </w:r>
          </w:p>
        </w:tc>
      </w:tr>
      <w:tr w:rsidR="006A5FFE" w:rsidRPr="008D0D56" w:rsidTr="00386E7A">
        <w:trPr>
          <w:trHeight w:val="283"/>
        </w:trPr>
        <w:tc>
          <w:tcPr>
            <w:tcW w:w="1134" w:type="dxa"/>
          </w:tcPr>
          <w:p w:rsidR="006A5FFE" w:rsidRPr="008D0D56" w:rsidRDefault="006A5FFE" w:rsidP="00386E7A">
            <w:pPr>
              <w:pStyle w:val="Tabletext"/>
              <w:spacing w:before="0" w:after="0" w:line="60" w:lineRule="atLeast"/>
              <w:rPr>
                <w:b/>
              </w:rPr>
            </w:pPr>
          </w:p>
        </w:tc>
        <w:tc>
          <w:tcPr>
            <w:tcW w:w="3458" w:type="dxa"/>
          </w:tcPr>
          <w:p w:rsidR="006A5FFE" w:rsidRPr="008D0D56" w:rsidRDefault="006A5FFE" w:rsidP="00386E7A">
            <w:pPr>
              <w:pStyle w:val="Tabletext"/>
              <w:spacing w:before="0" w:after="0" w:line="60" w:lineRule="atLeast"/>
            </w:pPr>
            <w:r w:rsidRPr="008D0D56">
              <w:t>Parks and Open Spaces</w:t>
            </w:r>
          </w:p>
        </w:tc>
        <w:tc>
          <w:tcPr>
            <w:tcW w:w="1247" w:type="dxa"/>
          </w:tcPr>
          <w:p w:rsidR="006A5FFE" w:rsidRPr="001B5442" w:rsidRDefault="006A5FFE" w:rsidP="006A5FFE">
            <w:pPr>
              <w:spacing w:before="0"/>
              <w:jc w:val="right"/>
            </w:pPr>
            <w:r w:rsidRPr="001B5442">
              <w:t xml:space="preserve">8,809 </w:t>
            </w:r>
          </w:p>
        </w:tc>
        <w:tc>
          <w:tcPr>
            <w:tcW w:w="1247" w:type="dxa"/>
          </w:tcPr>
          <w:p w:rsidR="006A5FFE" w:rsidRPr="00E30BC9" w:rsidRDefault="006A5FFE" w:rsidP="006A5FFE">
            <w:pPr>
              <w:spacing w:before="0"/>
              <w:jc w:val="right"/>
            </w:pPr>
            <w:r w:rsidRPr="00E30BC9">
              <w:t xml:space="preserve">16,026 </w:t>
            </w:r>
          </w:p>
        </w:tc>
        <w:tc>
          <w:tcPr>
            <w:tcW w:w="1247" w:type="dxa"/>
          </w:tcPr>
          <w:p w:rsidR="006A5FFE" w:rsidRPr="009407AA" w:rsidRDefault="006A5FFE" w:rsidP="006A5FFE">
            <w:pPr>
              <w:spacing w:before="0"/>
              <w:jc w:val="right"/>
            </w:pPr>
            <w:r w:rsidRPr="009407AA">
              <w:t xml:space="preserve">24,835 </w:t>
            </w:r>
          </w:p>
        </w:tc>
      </w:tr>
      <w:tr w:rsidR="006A5FFE" w:rsidRPr="006A5FFE" w:rsidTr="00386E7A">
        <w:trPr>
          <w:trHeight w:val="283"/>
        </w:trPr>
        <w:tc>
          <w:tcPr>
            <w:tcW w:w="1134" w:type="dxa"/>
          </w:tcPr>
          <w:p w:rsidR="006A5FFE" w:rsidRPr="008D0D56" w:rsidRDefault="006A5FFE" w:rsidP="00386E7A">
            <w:pPr>
              <w:pStyle w:val="Tabletext"/>
              <w:spacing w:before="0" w:after="0" w:line="60" w:lineRule="atLeast"/>
              <w:rPr>
                <w:b/>
              </w:rPr>
            </w:pPr>
          </w:p>
        </w:tc>
        <w:tc>
          <w:tcPr>
            <w:tcW w:w="3458" w:type="dxa"/>
          </w:tcPr>
          <w:p w:rsidR="006A5FFE" w:rsidRPr="008D0D56" w:rsidRDefault="006A5FFE" w:rsidP="00386E7A">
            <w:pPr>
              <w:pStyle w:val="Tabletext"/>
              <w:spacing w:before="0" w:after="0" w:line="60" w:lineRule="atLeast"/>
              <w:rPr>
                <w:b/>
              </w:rPr>
            </w:pPr>
            <w:r w:rsidRPr="008D0D56">
              <w:rPr>
                <w:b/>
              </w:rPr>
              <w:t>Total</w:t>
            </w:r>
          </w:p>
        </w:tc>
        <w:tc>
          <w:tcPr>
            <w:tcW w:w="1247" w:type="dxa"/>
          </w:tcPr>
          <w:p w:rsidR="006A5FFE" w:rsidRPr="006A5FFE" w:rsidRDefault="006A5FFE" w:rsidP="006A5FFE">
            <w:pPr>
              <w:spacing w:before="0"/>
              <w:jc w:val="right"/>
              <w:rPr>
                <w:b/>
              </w:rPr>
            </w:pPr>
            <w:r w:rsidRPr="006A5FFE">
              <w:rPr>
                <w:b/>
              </w:rPr>
              <w:t>21,896</w:t>
            </w:r>
          </w:p>
        </w:tc>
        <w:tc>
          <w:tcPr>
            <w:tcW w:w="1247" w:type="dxa"/>
          </w:tcPr>
          <w:p w:rsidR="006A5FFE" w:rsidRPr="006A5FFE" w:rsidRDefault="006A5FFE" w:rsidP="006A5FFE">
            <w:pPr>
              <w:spacing w:before="0"/>
              <w:jc w:val="right"/>
              <w:rPr>
                <w:b/>
              </w:rPr>
            </w:pPr>
            <w:r w:rsidRPr="006A5FFE">
              <w:rPr>
                <w:b/>
              </w:rPr>
              <w:t>23,155</w:t>
            </w:r>
          </w:p>
        </w:tc>
        <w:tc>
          <w:tcPr>
            <w:tcW w:w="1247" w:type="dxa"/>
          </w:tcPr>
          <w:p w:rsidR="006A5FFE" w:rsidRPr="006A5FFE" w:rsidRDefault="006A5FFE" w:rsidP="006A5FFE">
            <w:pPr>
              <w:spacing w:before="0"/>
              <w:jc w:val="right"/>
              <w:rPr>
                <w:b/>
              </w:rPr>
            </w:pPr>
            <w:r w:rsidRPr="006A5FFE">
              <w:rPr>
                <w:b/>
              </w:rPr>
              <w:t>45,051</w:t>
            </w:r>
          </w:p>
        </w:tc>
      </w:tr>
      <w:tr w:rsidR="006A5FFE" w:rsidRPr="006A5FFE" w:rsidTr="006A5FFE">
        <w:trPr>
          <w:trHeight w:val="283"/>
        </w:trPr>
        <w:tc>
          <w:tcPr>
            <w:tcW w:w="1134" w:type="dxa"/>
          </w:tcPr>
          <w:p w:rsidR="006A5FFE" w:rsidRPr="008D0D56" w:rsidRDefault="006A5FFE" w:rsidP="00572771">
            <w:pPr>
              <w:pStyle w:val="Tabletext"/>
              <w:spacing w:before="0" w:after="0" w:line="60" w:lineRule="atLeast"/>
              <w:rPr>
                <w:b/>
              </w:rPr>
            </w:pPr>
          </w:p>
        </w:tc>
        <w:tc>
          <w:tcPr>
            <w:tcW w:w="3458" w:type="dxa"/>
          </w:tcPr>
          <w:p w:rsidR="006A5FFE" w:rsidRPr="00572771" w:rsidRDefault="006A5FFE" w:rsidP="00572771">
            <w:pPr>
              <w:pStyle w:val="Tabletext"/>
              <w:spacing w:before="0" w:after="0" w:line="60" w:lineRule="atLeast"/>
              <w:rPr>
                <w:b/>
              </w:rPr>
            </w:pPr>
          </w:p>
        </w:tc>
        <w:tc>
          <w:tcPr>
            <w:tcW w:w="1247" w:type="dxa"/>
          </w:tcPr>
          <w:p w:rsidR="006A5FFE" w:rsidRPr="006A5FFE" w:rsidRDefault="006A5FFE" w:rsidP="006A5FFE">
            <w:pPr>
              <w:spacing w:before="0"/>
              <w:jc w:val="right"/>
            </w:pPr>
          </w:p>
        </w:tc>
        <w:tc>
          <w:tcPr>
            <w:tcW w:w="1247" w:type="dxa"/>
          </w:tcPr>
          <w:p w:rsidR="006A5FFE" w:rsidRPr="006A5FFE" w:rsidRDefault="006A5FFE" w:rsidP="006A5FFE">
            <w:pPr>
              <w:spacing w:before="0"/>
              <w:jc w:val="right"/>
            </w:pPr>
            <w:r w:rsidRPr="006A5FFE">
              <w:t xml:space="preserve"> </w:t>
            </w:r>
          </w:p>
        </w:tc>
        <w:tc>
          <w:tcPr>
            <w:tcW w:w="1247" w:type="dxa"/>
          </w:tcPr>
          <w:p w:rsidR="006A5FFE" w:rsidRPr="006A5FFE" w:rsidRDefault="006A5FFE" w:rsidP="006A5FFE">
            <w:pPr>
              <w:spacing w:before="0"/>
              <w:jc w:val="right"/>
            </w:pPr>
            <w:r w:rsidRPr="006A5FFE">
              <w:t xml:space="preserve"> </w:t>
            </w:r>
          </w:p>
        </w:tc>
      </w:tr>
    </w:tbl>
    <w:p w:rsidR="00C12BB5" w:rsidRDefault="00C12BB5" w:rsidP="00C12BB5">
      <w:pPr>
        <w:pStyle w:val="TableSource"/>
      </w:pPr>
      <w:r>
        <w:t xml:space="preserve">Source: </w:t>
      </w:r>
      <w:r w:rsidR="00386E7A">
        <w:t>NZIER analysis of council’s long term plans</w:t>
      </w:r>
    </w:p>
    <w:p w:rsidR="00C12BB5" w:rsidRDefault="00CF4FAF" w:rsidP="00C12BB5">
      <w:pPr>
        <w:pStyle w:val="Heading2"/>
      </w:pPr>
      <w:bookmarkStart w:id="20" w:name="_Toc396721547"/>
      <w:bookmarkStart w:id="21" w:name="_Toc397341755"/>
      <w:r>
        <w:t>Conclusions</w:t>
      </w:r>
      <w:bookmarkEnd w:id="21"/>
    </w:p>
    <w:bookmarkEnd w:id="20"/>
    <w:p w:rsidR="00E86EA7" w:rsidRDefault="00CF4FAF" w:rsidP="00C12BB5">
      <w:pPr>
        <w:pStyle w:val="BodyText"/>
      </w:pPr>
      <w:r>
        <w:t xml:space="preserve">The comparison of reliance on </w:t>
      </w:r>
      <w:r w:rsidR="00D72D6E">
        <w:t xml:space="preserve">rate funding </w:t>
      </w:r>
      <w:r>
        <w:t xml:space="preserve">shows wide variations in council </w:t>
      </w:r>
      <w:r w:rsidR="00476E1F">
        <w:t xml:space="preserve">community views about the extent to which </w:t>
      </w:r>
      <w:r w:rsidR="00E86EA7">
        <w:t>users are expected to pay for</w:t>
      </w:r>
      <w:r>
        <w:t xml:space="preserve"> funding spor</w:t>
      </w:r>
      <w:r w:rsidR="00D72D6E">
        <w:t>t</w:t>
      </w:r>
      <w:r>
        <w:t>ing and cultural activities</w:t>
      </w:r>
      <w:r w:rsidR="00D72D6E">
        <w:t xml:space="preserve">. </w:t>
      </w:r>
      <w:r w:rsidR="007F4325">
        <w:t>The analysis of spending per capita did not show councils with higher populations spent less on sport and cultural activities than councils with lower populations.</w:t>
      </w:r>
    </w:p>
    <w:p w:rsidR="007F35B4" w:rsidRDefault="005C0385" w:rsidP="00C12BB5">
      <w:pPr>
        <w:pStyle w:val="BodyText"/>
      </w:pPr>
      <w:r>
        <w:t>Based on the</w:t>
      </w:r>
      <w:r w:rsidR="00715C16">
        <w:t>ir</w:t>
      </w:r>
      <w:r>
        <w:t xml:space="preserve"> long term plans, councils in the region plan to invest about $400 million in sport, cultural and community facilities over the period 2015 to 2022. Just over half of the planned spending is to replace existing assets.</w:t>
      </w:r>
    </w:p>
    <w:p w:rsidR="00950BEC" w:rsidRDefault="00950BEC" w:rsidP="00C12BB5">
      <w:pPr>
        <w:pStyle w:val="BodyText"/>
      </w:pPr>
      <w:r>
        <w:t>The data provided by individual council also gives a sense of the operational and capital spending base that each of the nine reasonable practicable options would be able to leverage.</w:t>
      </w:r>
    </w:p>
    <w:p w:rsidR="00C12BB5" w:rsidRDefault="00C12BB5" w:rsidP="00C12BB5">
      <w:pPr>
        <w:pStyle w:val="Heading1"/>
      </w:pPr>
      <w:bookmarkStart w:id="22" w:name="_Toc396721548"/>
      <w:bookmarkStart w:id="23" w:name="_Toc397341756"/>
      <w:r>
        <w:t>Reasonable practicable options</w:t>
      </w:r>
      <w:bookmarkEnd w:id="22"/>
      <w:bookmarkEnd w:id="23"/>
    </w:p>
    <w:p w:rsidR="00C12BB5" w:rsidRDefault="00715C16" w:rsidP="00C12BB5">
      <w:pPr>
        <w:pStyle w:val="Heading2"/>
      </w:pPr>
      <w:bookmarkStart w:id="24" w:name="_Toc397341757"/>
      <w:r>
        <w:t>What changes would mergers allow</w:t>
      </w:r>
      <w:bookmarkEnd w:id="24"/>
    </w:p>
    <w:p w:rsidR="005C0385" w:rsidRDefault="005477F8" w:rsidP="00C12BB5">
      <w:pPr>
        <w:pStyle w:val="BodyText"/>
      </w:pPr>
      <w:r>
        <w:t xml:space="preserve">The </w:t>
      </w:r>
      <w:r w:rsidR="00055024">
        <w:t xml:space="preserve">reasonable practicable options </w:t>
      </w:r>
      <w:r w:rsidR="00CF4FAF">
        <w:t xml:space="preserve">for mergers </w:t>
      </w:r>
      <w:r>
        <w:t>may allow</w:t>
      </w:r>
      <w:r w:rsidR="00CF4FAF">
        <w:t xml:space="preserve"> </w:t>
      </w:r>
      <w:r w:rsidR="005C0385">
        <w:t>councils to:</w:t>
      </w:r>
    </w:p>
    <w:p w:rsidR="005C0385" w:rsidRDefault="005C0385" w:rsidP="005C0385">
      <w:pPr>
        <w:pStyle w:val="Bullet"/>
      </w:pPr>
      <w:r>
        <w:t>adopt a consistent approach to the balance between community and user pays for sports fields (which are effectively services to regional organisations)</w:t>
      </w:r>
    </w:p>
    <w:p w:rsidR="00C12BB5" w:rsidRDefault="005477F8" w:rsidP="005C0385">
      <w:pPr>
        <w:pStyle w:val="Bullet"/>
      </w:pPr>
      <w:r>
        <w:t xml:space="preserve">improve the services provided by the investment in new or replacement assets by re-configuring their portfolio </w:t>
      </w:r>
      <w:r w:rsidR="00715C16">
        <w:t xml:space="preserve">to remove duplication and </w:t>
      </w:r>
      <w:r>
        <w:t>better meet the need</w:t>
      </w:r>
      <w:r w:rsidR="00715C16">
        <w:t>s</w:t>
      </w:r>
      <w:r>
        <w:t xml:space="preserve"> of the community</w:t>
      </w:r>
    </w:p>
    <w:p w:rsidR="00715C16" w:rsidRDefault="00715C16" w:rsidP="005C0385">
      <w:pPr>
        <w:pStyle w:val="Bullet"/>
      </w:pPr>
      <w:r>
        <w:t>diversify the range of facilities offered or the range of services offered by individual facilities to manage the risk of change in tastes and fluctuating fortunes of individual sporting codes</w:t>
      </w:r>
    </w:p>
    <w:p w:rsidR="00715C16" w:rsidRDefault="00715C16" w:rsidP="005C0385">
      <w:pPr>
        <w:pStyle w:val="Bullet"/>
      </w:pPr>
      <w:r>
        <w:t>co-ordinate more effectively with:</w:t>
      </w:r>
    </w:p>
    <w:p w:rsidR="001929EB" w:rsidRDefault="00715C16" w:rsidP="00715C16">
      <w:pPr>
        <w:pStyle w:val="Bullet2ndlevel"/>
      </w:pPr>
      <w:r>
        <w:t>national funders such as Sport New Zealand</w:t>
      </w:r>
      <w:r w:rsidR="001929EB">
        <w:t xml:space="preserve"> and Outdoor New Zealand (that also can assist councils to manage community expectations for the quality of sports facilities </w:t>
      </w:r>
      <w:r w:rsidR="00321D9F">
        <w:t xml:space="preserve">and </w:t>
      </w:r>
      <w:r w:rsidR="001929EB">
        <w:t>advise on effective facility ownership models)</w:t>
      </w:r>
    </w:p>
    <w:p w:rsidR="00715C16" w:rsidRDefault="001929EB" w:rsidP="00715C16">
      <w:pPr>
        <w:pStyle w:val="Bullet2ndlevel"/>
      </w:pPr>
      <w:r>
        <w:t>Ministry of Education to ensure sport facilities are aligned with school requirements.</w:t>
      </w:r>
    </w:p>
    <w:p w:rsidR="003F2535" w:rsidRDefault="003F2535" w:rsidP="003F2535">
      <w:pPr>
        <w:pStyle w:val="BodyText"/>
      </w:pPr>
      <w:r>
        <w:t>We cannot quantify the value of these benefits based on the information we have reviewed. The current differences in council approach to providing sport and cultural services suggest that the potential benefits will be delivered gradually from an activity-by activity review of services as these amenities are scheduled for major upgrades or new investment</w:t>
      </w:r>
      <w:r w:rsidR="00C27D5E">
        <w:t>.</w:t>
      </w:r>
    </w:p>
    <w:p w:rsidR="00C27D5E" w:rsidRDefault="00C27D5E" w:rsidP="003F2535">
      <w:pPr>
        <w:pStyle w:val="BodyText"/>
      </w:pPr>
      <w:r>
        <w:t>A key question for the merger process will be how to address the difference between the spending</w:t>
      </w:r>
      <w:r w:rsidR="008E1A57">
        <w:rPr>
          <w:rStyle w:val="FootnoteReference"/>
        </w:rPr>
        <w:footnoteReference w:id="7"/>
      </w:r>
      <w:r>
        <w:t xml:space="preserve"> on sport and recreation be</w:t>
      </w:r>
      <w:r w:rsidR="008E1A57">
        <w:t>tween</w:t>
      </w:r>
      <w:r>
        <w:t xml:space="preserve"> Wellington</w:t>
      </w:r>
      <w:r w:rsidR="008E1A57">
        <w:t xml:space="preserve"> City Council (WCC) </w:t>
      </w:r>
      <w:r>
        <w:t>and the other councils.</w:t>
      </w:r>
      <w:r w:rsidR="008E1A57">
        <w:t xml:space="preserve"> </w:t>
      </w:r>
    </w:p>
    <w:p w:rsidR="00C12BB5" w:rsidRDefault="003F2535" w:rsidP="00C12BB5">
      <w:pPr>
        <w:pStyle w:val="Heading2"/>
      </w:pPr>
      <w:bookmarkStart w:id="25" w:name="_Toc397341758"/>
      <w:r>
        <w:t>Comparing the options</w:t>
      </w:r>
      <w:bookmarkEnd w:id="25"/>
    </w:p>
    <w:p w:rsidR="00873524" w:rsidRDefault="008E1A57" w:rsidP="003F2535">
      <w:pPr>
        <w:pStyle w:val="BodyText"/>
      </w:pPr>
      <w:r>
        <w:t xml:space="preserve">Territorial amalgamations that do not involve WCC would allow individual councils to achieve modest benefits in the short term by aligning user pays policies across each sporting code and over </w:t>
      </w:r>
      <w:r w:rsidR="00F5430F">
        <w:t xml:space="preserve">the longer term through rationalisation of their investment plans. </w:t>
      </w:r>
    </w:p>
    <w:p w:rsidR="003F2535" w:rsidRDefault="00F5430F" w:rsidP="003F2535">
      <w:pPr>
        <w:pStyle w:val="BodyText"/>
      </w:pPr>
      <w:r>
        <w:t>Currently the counc</w:t>
      </w:r>
      <w:r w:rsidR="00873524">
        <w:t>ils in the region (excluding WCC and the Wairarapa councils, plan to invest about $160 million in replacement and new sport and cultural facilities.</w:t>
      </w:r>
    </w:p>
    <w:p w:rsidR="00950BEC" w:rsidRDefault="001A4790" w:rsidP="003F2535">
      <w:pPr>
        <w:pStyle w:val="BodyText"/>
      </w:pPr>
      <w:r>
        <w:t>Based on the information we have taken from the long term plans,</w:t>
      </w:r>
      <w:r w:rsidR="00950BEC">
        <w:t xml:space="preserve"> </w:t>
      </w:r>
      <w:r>
        <w:t xml:space="preserve">we estimate that the </w:t>
      </w:r>
      <w:r w:rsidR="00B514BE">
        <w:t xml:space="preserve">building blocks for the </w:t>
      </w:r>
      <w:r>
        <w:t>proposed merger options</w:t>
      </w:r>
      <w:r w:rsidR="00C90E77">
        <w:t xml:space="preserve"> (excluding the Wairarapa councils</w:t>
      </w:r>
      <w:r w:rsidR="00C90E77">
        <w:rPr>
          <w:rStyle w:val="FootnoteReference"/>
        </w:rPr>
        <w:footnoteReference w:id="8"/>
      </w:r>
      <w:r w:rsidR="00C90E77">
        <w:t>)</w:t>
      </w:r>
      <w:r>
        <w:t xml:space="preserve"> </w:t>
      </w:r>
      <w:r w:rsidR="00950BEC">
        <w:t xml:space="preserve">would create the </w:t>
      </w:r>
      <w:r>
        <w:t>following indicative approximate</w:t>
      </w:r>
      <w:r>
        <w:rPr>
          <w:rStyle w:val="FootnoteReference"/>
        </w:rPr>
        <w:footnoteReference w:id="9"/>
      </w:r>
      <w:r>
        <w:t xml:space="preserve"> starting </w:t>
      </w:r>
      <w:r w:rsidR="00950BEC">
        <w:t>groupings of operational and capital spending</w:t>
      </w:r>
      <w:r>
        <w:t>:</w:t>
      </w:r>
    </w:p>
    <w:p w:rsidR="001A4790" w:rsidRDefault="001A4790" w:rsidP="001A4790">
      <w:pPr>
        <w:pStyle w:val="Bullet"/>
      </w:pPr>
      <w:r>
        <w:t>one Hutt Valley territorial aut</w:t>
      </w:r>
      <w:r w:rsidR="00C90E77">
        <w:t>h</w:t>
      </w:r>
      <w:r>
        <w:t>ority</w:t>
      </w:r>
      <w:r w:rsidR="00C90E77">
        <w:t xml:space="preserve"> </w:t>
      </w:r>
      <w:r w:rsidR="00B514BE">
        <w:t xml:space="preserve">(Upper Hutt and Hutt City Councils) </w:t>
      </w:r>
      <w:r w:rsidR="00C90E77">
        <w:t xml:space="preserve">would create a new entity with operational spending of </w:t>
      </w:r>
      <w:r w:rsidR="00B514BE">
        <w:t>about $50 million per year and planned capital spending of $73 million over the period 2015 to 2022</w:t>
      </w:r>
    </w:p>
    <w:p w:rsidR="00B514BE" w:rsidRDefault="00B514BE" w:rsidP="001A4790">
      <w:pPr>
        <w:pStyle w:val="Bullet"/>
      </w:pPr>
      <w:r>
        <w:t xml:space="preserve">one western and northern territorial authority (WCC, PCC and KCDC) would create a </w:t>
      </w:r>
      <w:r>
        <w:t>new entity with operational spending of about $</w:t>
      </w:r>
      <w:r>
        <w:t>197</w:t>
      </w:r>
      <w:r>
        <w:t xml:space="preserve"> million per year and planned capital spending of $</w:t>
      </w:r>
      <w:r>
        <w:t>32</w:t>
      </w:r>
      <w:r w:rsidR="00CB0FEA">
        <w:t>4</w:t>
      </w:r>
      <w:r>
        <w:t xml:space="preserve"> million over the period 2015 to 2022</w:t>
      </w:r>
      <w:r>
        <w:t xml:space="preserve"> and an opportunity to re-align the balance between user pays and community funding</w:t>
      </w:r>
    </w:p>
    <w:p w:rsidR="00B514BE" w:rsidRDefault="00B514BE" w:rsidP="001A4790">
      <w:pPr>
        <w:pStyle w:val="Bullet"/>
      </w:pPr>
      <w:r>
        <w:t xml:space="preserve">a one Wellington council approach would </w:t>
      </w:r>
      <w:r>
        <w:t>create a new entity with operational spending of about $</w:t>
      </w:r>
      <w:r w:rsidR="00CB0FEA">
        <w:t>246</w:t>
      </w:r>
      <w:r>
        <w:t xml:space="preserve"> million per year and planned capital spending of $</w:t>
      </w:r>
      <w:r w:rsidR="00CB0FEA">
        <w:t>397</w:t>
      </w:r>
      <w:r>
        <w:t xml:space="preserve"> million over the period 2015 to 2022 and an opportunity to re-align the balance between user pays and community funding</w:t>
      </w:r>
    </w:p>
    <w:p w:rsidR="00731F80" w:rsidRDefault="00731F80" w:rsidP="003F2535">
      <w:pPr>
        <w:pStyle w:val="BodyText"/>
      </w:pPr>
      <w:r>
        <w:t xml:space="preserve">Options that involve transfer of the obligations to the Wellington Regional Council or the creation of </w:t>
      </w:r>
      <w:r w:rsidR="00F15477">
        <w:t>‘</w:t>
      </w:r>
      <w:r>
        <w:t>one Wellington Council</w:t>
      </w:r>
      <w:r w:rsidR="00F15477">
        <w:t>’</w:t>
      </w:r>
      <w:r>
        <w:t xml:space="preserve"> should in theory allow the same type of benefits to be achieved in the rationalisation of user pays contributions and co-ordination for investments as suggested above for amalgamations of </w:t>
      </w:r>
      <w:r w:rsidR="00F15477">
        <w:t xml:space="preserve">other </w:t>
      </w:r>
      <w:r>
        <w:t>territorial authorities</w:t>
      </w:r>
      <w:r w:rsidR="00F15477">
        <w:t>.</w:t>
      </w:r>
      <w:r w:rsidR="00035C14">
        <w:t xml:space="preserve"> In addition, a region-wide council, with a well-defined regional sport and cultural facility strategy/plan is less likely to be exposed to having to seriously consider ‘me-too’ proposals for large facilities in multiple areas, than if those areas are each in a different territorial authority.</w:t>
      </w:r>
    </w:p>
    <w:p w:rsidR="00873524" w:rsidRDefault="00731F80" w:rsidP="003F2535">
      <w:pPr>
        <w:pStyle w:val="BodyText"/>
      </w:pPr>
      <w:r>
        <w:t xml:space="preserve">However the apparent difference between the WCC spending on sport and cultural facilities and that of the other councils may temporarily delay the realisation of these benefits. </w:t>
      </w:r>
      <w:r w:rsidR="00F738F9">
        <w:t>(A possible reason for this difference is that the WCC spending and investment includes what are effectively regional amenities</w:t>
      </w:r>
      <w:r w:rsidR="00035C14">
        <w:rPr>
          <w:rStyle w:val="FootnoteReference"/>
        </w:rPr>
        <w:footnoteReference w:id="10"/>
      </w:r>
      <w:r w:rsidR="00F738F9">
        <w:t xml:space="preserve">.) </w:t>
      </w:r>
      <w:r>
        <w:t xml:space="preserve">Management and governance of either the ‘augmented’ Wellington Regional Council or the new </w:t>
      </w:r>
      <w:r w:rsidR="00F15477">
        <w:t>‘</w:t>
      </w:r>
      <w:r>
        <w:t xml:space="preserve">one </w:t>
      </w:r>
      <w:r w:rsidR="00F15477">
        <w:t xml:space="preserve">Wellington Council’ are likely to require time to </w:t>
      </w:r>
      <w:r>
        <w:t>analyse the root causes of the difference between WCC</w:t>
      </w:r>
      <w:r w:rsidR="00F15477">
        <w:t xml:space="preserve"> and other council spending and investment to identify facilities spending that can be better co-ordinated.</w:t>
      </w:r>
    </w:p>
    <w:p w:rsidR="00F15477" w:rsidRDefault="00F15477" w:rsidP="00F15477">
      <w:pPr>
        <w:pStyle w:val="Heading2"/>
      </w:pPr>
      <w:bookmarkStart w:id="26" w:name="_Toc397341759"/>
      <w:r>
        <w:t>Conclusions</w:t>
      </w:r>
      <w:bookmarkEnd w:id="26"/>
    </w:p>
    <w:p w:rsidR="009F3A42" w:rsidRDefault="00F15477" w:rsidP="00F15477">
      <w:pPr>
        <w:pStyle w:val="BodyText"/>
      </w:pPr>
      <w:r>
        <w:t>Anecdotal evidence suggests that there is duplication of both operational and capital spending on sport and cultural amenities by councils in the Wellington region. Analysis of the long term plans shows difference s in the balance between user pays and community pays for a given activity across councils but does not provide any strong evidence of economies of scale within the region.</w:t>
      </w:r>
    </w:p>
    <w:p w:rsidR="00F15477" w:rsidRDefault="009F3A42" w:rsidP="00F15477">
      <w:pPr>
        <w:pStyle w:val="BodyText"/>
      </w:pPr>
      <w:r>
        <w:t>Therefore the arguments for improvement of the efficiency of the delivery of sport and cultural services are qualitative rather than quantitative. Also it is likely to be politically difficult for a merged council to de-commission a function</w:t>
      </w:r>
      <w:r w:rsidR="00035C14">
        <w:t>ing</w:t>
      </w:r>
      <w:r>
        <w:t xml:space="preserve"> sports or cultural amenity</w:t>
      </w:r>
      <w:r w:rsidR="00321D9F">
        <w:t>,</w:t>
      </w:r>
      <w:r>
        <w:t xml:space="preserve"> any investment efficiencies may need to be achieved gradually as facilities fall due for upgrade or renewal.</w:t>
      </w:r>
    </w:p>
    <w:p w:rsidR="00321D9F" w:rsidRPr="00F15477" w:rsidRDefault="009F3A42" w:rsidP="00F15477">
      <w:pPr>
        <w:pStyle w:val="BodyText"/>
      </w:pPr>
      <w:r>
        <w:t>The apparent difference between WCC spending and investment on sport and cultural facilities may temporarily delay the realisation of benefits from a merger of all the councils in the region. The root cause of the difference will need to</w:t>
      </w:r>
      <w:r w:rsidR="00F738F9">
        <w:t xml:space="preserve"> be</w:t>
      </w:r>
      <w:r>
        <w:t xml:space="preserve"> analysed </w:t>
      </w:r>
      <w:r w:rsidR="00F738F9">
        <w:t>and areas of overlap between WCC and other council spending identified.</w:t>
      </w:r>
      <w:r>
        <w:t xml:space="preserve"> </w:t>
      </w:r>
    </w:p>
    <w:sectPr w:rsidR="00321D9F" w:rsidRPr="00F15477" w:rsidSect="00C17D87">
      <w:footerReference w:type="default" r:id="rId24"/>
      <w:pgSz w:w="11907" w:h="16840" w:code="9"/>
      <w:pgMar w:top="2268" w:right="1701" w:bottom="1134" w:left="2552" w:header="1134" w:footer="56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797" w:rsidRDefault="009C4797" w:rsidP="00AE01EA">
      <w:r>
        <w:separator/>
      </w:r>
    </w:p>
  </w:endnote>
  <w:endnote w:type="continuationSeparator" w:id="0">
    <w:p w:rsidR="009C4797" w:rsidRDefault="009C4797" w:rsidP="00AE0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yriad Pro">
    <w:altName w:val="Arial"/>
    <w:panose1 w:val="00000000000000000000"/>
    <w:charset w:val="00"/>
    <w:family w:val="swiss"/>
    <w:notTrueType/>
    <w:pitch w:val="variable"/>
    <w:sig w:usb0="A00002AF" w:usb1="5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797" w:rsidRPr="002F0024" w:rsidRDefault="009C4797" w:rsidP="00AE01EA">
    <w:pPr>
      <w:pStyle w:val="zWebpage"/>
      <w:rPr>
        <w:snapToGrid w:val="0"/>
        <w:lang w:val="en-GB"/>
      </w:rPr>
    </w:pPr>
    <w:r w:rsidRPr="002F0024">
      <w:t>nzier.org.nz</w:t>
    </w:r>
  </w:p>
  <w:p w:rsidR="009C4797" w:rsidRPr="00315887" w:rsidRDefault="009C4797" w:rsidP="00AE01EA">
    <w:pPr>
      <w:pStyle w:val="zAddressdetails"/>
    </w:pPr>
    <w:r w:rsidRPr="00315887">
      <w:t>8 Halswell St, Thorndon | PO Box 3479, Wellington</w:t>
    </w:r>
    <w:r>
      <w:br/>
    </w:r>
    <w:r w:rsidRPr="00315887">
      <w:t xml:space="preserve">Tel +64 4 472 1880 | Fax +64 4 472 1211 | </w:t>
    </w:r>
    <w:hyperlink r:id="rId1" w:history="1">
      <w:r w:rsidRPr="00315887">
        <w:rPr>
          <w:rStyle w:val="Hyperlink"/>
          <w:rFonts w:cs="Tahoma"/>
        </w:rPr>
        <w:t>econ@nzier.org.nz</w:t>
      </w:r>
    </w:hyperlink>
  </w:p>
  <w:p w:rsidR="009C4797" w:rsidRDefault="009C4797" w:rsidP="00AE01EA">
    <w:pPr>
      <w:pStyle w:val="zAddressdetails"/>
    </w:pPr>
    <w:r w:rsidRPr="00315887">
      <w:t xml:space="preserve">© NZ Institute of Economic Research (Inc) 2011 </w:t>
    </w:r>
  </w:p>
  <w:p w:rsidR="009C4797" w:rsidRPr="00315887" w:rsidRDefault="009C4797" w:rsidP="00AE01EA">
    <w:pPr>
      <w:pStyle w:val="zAddressdetails"/>
    </w:pPr>
    <w:r w:rsidRPr="00315887">
      <w:t xml:space="preserve">Cover image © </w:t>
    </w:r>
    <w:r>
      <w:fldChar w:fldCharType="begin"/>
    </w:r>
    <w:r>
      <w:instrText xml:space="preserve"> MACROBUTTON  NoMacro Dreamstime.com </w:instrText>
    </w:r>
    <w:r>
      <w:fldChar w:fldCharType="end"/>
    </w:r>
  </w:p>
  <w:p w:rsidR="009C4797" w:rsidRPr="00315887" w:rsidRDefault="009C4797" w:rsidP="00AE01EA">
    <w:pPr>
      <w:pStyle w:val="zAddressdetails"/>
      <w:rPr>
        <w:snapToGrid w:val="0"/>
        <w:lang w:val="en-GB"/>
      </w:rPr>
    </w:pPr>
    <w:r w:rsidRPr="00315887">
      <w:rPr>
        <w:snapToGrid w:val="0"/>
        <w:lang w:val="en-GB"/>
      </w:rPr>
      <w:t>NZIER’s standard terms of engagement for contract research can be found at www.nzier.org.nz.</w:t>
    </w:r>
  </w:p>
  <w:p w:rsidR="009C4797" w:rsidRPr="00315887" w:rsidRDefault="009C4797" w:rsidP="00AE01EA">
    <w:pPr>
      <w:pStyle w:val="zAddressdetails"/>
      <w:rPr>
        <w:snapToGrid w:val="0"/>
        <w:lang w:val="en-GB"/>
      </w:rPr>
    </w:pPr>
    <w:r w:rsidRPr="00315887">
      <w:rPr>
        <w:snapToGrid w:val="0"/>
        <w:lang w:val="en-GB"/>
      </w:rPr>
      <w:t>While NZIER will use all reasonable endeavours in undertaking contract research and producing reports to ensure the information is as accurate as practicable, the Institute, its contributors, employees, and Board shall not be liable (whether in contract, tort (including negligence), equity or on any other basis) for any loss or damage sustained by any person relying on such work whatever the cause of such loss or damage.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797" w:rsidRDefault="009C4797" w:rsidP="00AE01EA">
    <w:pPr>
      <w:pStyle w:val="Footer"/>
    </w:pPr>
    <w:r>
      <w:t xml:space="preserve">NZIER report - </w:t>
    </w:r>
    <w:r>
      <w:fldChar w:fldCharType="begin"/>
    </w:r>
    <w:r>
      <w:instrText xml:space="preserve"> REF ReportTitle \h </w:instrText>
    </w:r>
    <w:r>
      <w:fldChar w:fldCharType="separate"/>
    </w:r>
    <w:r>
      <w:rPr>
        <w:b/>
        <w:bCs/>
        <w:lang w:val="en-US"/>
      </w:rPr>
      <w:t>Error! Reference source not found.</w:t>
    </w:r>
    <w:r>
      <w:fldChar w:fldCharType="end"/>
    </w:r>
    <w:r>
      <w:tab/>
    </w:r>
    <w:r>
      <w:fldChar w:fldCharType="begin"/>
    </w:r>
    <w:r>
      <w:instrText xml:space="preserve"> PAGE   \* MERGEFORMAT </w:instrText>
    </w:r>
    <w:r>
      <w:fldChar w:fldCharType="separate"/>
    </w:r>
    <w:r>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797" w:rsidRPr="002F0024" w:rsidRDefault="009C4797" w:rsidP="00AE01EA">
    <w:pPr>
      <w:pStyle w:val="zWebpage"/>
      <w:rPr>
        <w:snapToGrid w:val="0"/>
        <w:lang w:val="en-GB"/>
      </w:rPr>
    </w:pPr>
    <w:r w:rsidRPr="002F0024">
      <w:t>nzier.org.nz</w:t>
    </w:r>
  </w:p>
  <w:p w:rsidR="009C4797" w:rsidRPr="00315887" w:rsidRDefault="009C4797" w:rsidP="00AE01EA">
    <w:pPr>
      <w:pStyle w:val="zAddressdetails"/>
    </w:pPr>
    <w:r w:rsidRPr="00315887">
      <w:t>8 Halswell St, Thorndon | PO Box 3479, Wellington</w:t>
    </w:r>
    <w:r>
      <w:br/>
    </w:r>
    <w:r w:rsidRPr="00315887">
      <w:t xml:space="preserve">Tel +64 4 472 1880 | Fax +64 4 472 1211 | </w:t>
    </w:r>
    <w:hyperlink r:id="rId1" w:history="1">
      <w:r w:rsidRPr="00315887">
        <w:rPr>
          <w:rStyle w:val="Hyperlink"/>
          <w:rFonts w:cs="Tahoma"/>
        </w:rPr>
        <w:t>econ@nzier.org.nz</w:t>
      </w:r>
    </w:hyperlink>
  </w:p>
  <w:p w:rsidR="009C4797" w:rsidRDefault="009C4797" w:rsidP="00AE01EA">
    <w:pPr>
      <w:pStyle w:val="zAddressdetails"/>
    </w:pPr>
    <w:r w:rsidRPr="00315887">
      <w:t xml:space="preserve">© NZ Institute of Economic Research (Inc) 2011 </w:t>
    </w:r>
  </w:p>
  <w:p w:rsidR="009C4797" w:rsidRPr="00315887" w:rsidRDefault="009C4797" w:rsidP="00AE01EA">
    <w:pPr>
      <w:pStyle w:val="zAddressdetails"/>
    </w:pPr>
    <w:r w:rsidRPr="00315887">
      <w:t xml:space="preserve">Cover image © </w:t>
    </w:r>
    <w:r>
      <w:fldChar w:fldCharType="begin"/>
    </w:r>
    <w:r>
      <w:instrText xml:space="preserve"> MACROBUTTON  NoMacro Dreamstime.com </w:instrText>
    </w:r>
    <w:r>
      <w:fldChar w:fldCharType="end"/>
    </w:r>
  </w:p>
  <w:p w:rsidR="009C4797" w:rsidRPr="00315887" w:rsidRDefault="009C4797" w:rsidP="00AE01EA">
    <w:pPr>
      <w:pStyle w:val="zAddressdetails"/>
      <w:rPr>
        <w:snapToGrid w:val="0"/>
        <w:lang w:val="en-GB"/>
      </w:rPr>
    </w:pPr>
    <w:r w:rsidRPr="00315887">
      <w:rPr>
        <w:snapToGrid w:val="0"/>
        <w:lang w:val="en-GB"/>
      </w:rPr>
      <w:t>NZIER’s standard terms of engagement for contract research can be found at www.nzier.org.nz.</w:t>
    </w:r>
  </w:p>
  <w:p w:rsidR="009C4797" w:rsidRPr="00315887" w:rsidRDefault="009C4797" w:rsidP="00AE01EA">
    <w:pPr>
      <w:pStyle w:val="zAddressdetails"/>
      <w:rPr>
        <w:snapToGrid w:val="0"/>
        <w:lang w:val="en-GB"/>
      </w:rPr>
    </w:pPr>
    <w:r w:rsidRPr="00315887">
      <w:rPr>
        <w:snapToGrid w:val="0"/>
        <w:lang w:val="en-GB"/>
      </w:rPr>
      <w:t>While NZIER will use all reasonable endeavours in undertaking contract research and producing reports to ensure the information is as accurate as practicable, the Institute, its contributors, employees, and Board shall not be liable (whether in contract, tort (including negligence), equity or on any other basis) for any loss or damage sustained by any person relying on such work whatever the cause of such loss or damage.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797" w:rsidRDefault="009C4797" w:rsidP="00F9369D">
    <w:pPr>
      <w:pStyle w:val="zAddressdetails"/>
      <w:rPr>
        <w:rFonts w:cstheme="minorHAnsi"/>
        <w:sz w:val="17"/>
        <w:szCs w:val="17"/>
      </w:rPr>
    </w:pPr>
    <w:r>
      <w:rPr>
        <w:noProof/>
        <w:sz w:val="20"/>
        <w:szCs w:val="20"/>
        <w:lang w:eastAsia="en-NZ"/>
      </w:rPr>
      <w:drawing>
        <wp:anchor distT="0" distB="0" distL="114300" distR="114300" simplePos="0" relativeHeight="251687936" behindDoc="0" locked="0" layoutInCell="1" allowOverlap="1" wp14:anchorId="104EA770" wp14:editId="347A40B7">
          <wp:simplePos x="0" y="0"/>
          <wp:positionH relativeFrom="column">
            <wp:posOffset>-33020</wp:posOffset>
          </wp:positionH>
          <wp:positionV relativeFrom="paragraph">
            <wp:posOffset>-478227</wp:posOffset>
          </wp:positionV>
          <wp:extent cx="1511300" cy="570302"/>
          <wp:effectExtent l="0" t="0" r="0" b="0"/>
          <wp:wrapNone/>
          <wp:docPr id="4" name="Picture 4" descr="C:\Users\jessicam\AppData\Local\Temp\Rar$DR67.936\Logo files\Full colour\nzi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ssicam\AppData\Local\Temp\Rar$DR67.936\Logo files\Full colour\nzier-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11300" cy="57030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4797" w:rsidRPr="00303CE8" w:rsidRDefault="009C4797" w:rsidP="00F9369D">
    <w:pPr>
      <w:pStyle w:val="zAddressdetails"/>
      <w:rPr>
        <w:rFonts w:cstheme="minorHAnsi"/>
        <w:sz w:val="17"/>
        <w:szCs w:val="17"/>
      </w:rPr>
    </w:pPr>
    <w:r>
      <w:rPr>
        <w:rFonts w:cstheme="minorHAnsi"/>
        <w:sz w:val="17"/>
        <w:szCs w:val="17"/>
      </w:rPr>
      <w:t xml:space="preserve">L13 Grant Thornton House, 215 Lambton Quay </w:t>
    </w:r>
    <w:r w:rsidRPr="00303CE8">
      <w:rPr>
        <w:rFonts w:cstheme="minorHAnsi"/>
        <w:sz w:val="17"/>
        <w:szCs w:val="17"/>
      </w:rPr>
      <w:t>| PO Box 3479, Wellington</w:t>
    </w:r>
    <w:r>
      <w:rPr>
        <w:rFonts w:cstheme="minorHAnsi"/>
        <w:sz w:val="17"/>
        <w:szCs w:val="17"/>
      </w:rPr>
      <w:t xml:space="preserve"> 6140</w:t>
    </w:r>
    <w:r w:rsidRPr="00303CE8">
      <w:rPr>
        <w:rFonts w:cstheme="minorHAnsi"/>
        <w:sz w:val="17"/>
        <w:szCs w:val="17"/>
      </w:rPr>
      <w:br/>
      <w:t xml:space="preserve">Tel +64 4 472 1880 | </w:t>
    </w:r>
    <w:hyperlink r:id="rId2" w:history="1">
      <w:r w:rsidRPr="00303CE8">
        <w:rPr>
          <w:rStyle w:val="Hyperlink"/>
          <w:rFonts w:cstheme="minorHAnsi"/>
          <w:sz w:val="17"/>
          <w:szCs w:val="17"/>
        </w:rPr>
        <w:t>econ@nzier.org.nz</w:t>
      </w:r>
    </w:hyperlink>
  </w:p>
  <w:p w:rsidR="009C4797" w:rsidRPr="00303CE8" w:rsidRDefault="009C4797" w:rsidP="00F9369D">
    <w:pPr>
      <w:pStyle w:val="zAddressdetails"/>
      <w:rPr>
        <w:rFonts w:cstheme="minorHAnsi"/>
        <w:snapToGrid w:val="0"/>
        <w:sz w:val="17"/>
        <w:szCs w:val="17"/>
        <w:lang w:val="en-GB"/>
      </w:rPr>
    </w:pPr>
    <w:r w:rsidRPr="00303CE8">
      <w:rPr>
        <w:rFonts w:cstheme="minorHAnsi"/>
        <w:sz w:val="17"/>
        <w:szCs w:val="17"/>
      </w:rPr>
      <w:t xml:space="preserve">© NZ Institute of Economic Research (Inc) 2012. Cover image © </w:t>
    </w:r>
    <w:r w:rsidRPr="00303CE8">
      <w:rPr>
        <w:rFonts w:cstheme="minorHAnsi"/>
        <w:sz w:val="17"/>
        <w:szCs w:val="17"/>
      </w:rPr>
      <w:fldChar w:fldCharType="begin"/>
    </w:r>
    <w:r w:rsidRPr="00303CE8">
      <w:rPr>
        <w:rFonts w:cstheme="minorHAnsi"/>
        <w:sz w:val="17"/>
        <w:szCs w:val="17"/>
      </w:rPr>
      <w:instrText xml:space="preserve"> MACROBUTTON  NoMacro Dreamstime.com </w:instrText>
    </w:r>
    <w:r w:rsidRPr="00303CE8">
      <w:rPr>
        <w:rFonts w:cstheme="minorHAnsi"/>
        <w:sz w:val="17"/>
        <w:szCs w:val="17"/>
      </w:rPr>
      <w:fldChar w:fldCharType="end"/>
    </w:r>
    <w:r>
      <w:rPr>
        <w:rFonts w:cstheme="minorHAnsi"/>
        <w:sz w:val="17"/>
        <w:szCs w:val="17"/>
      </w:rPr>
      <w:br/>
    </w:r>
    <w:r w:rsidRPr="00303CE8">
      <w:rPr>
        <w:rFonts w:cstheme="minorHAnsi"/>
        <w:snapToGrid w:val="0"/>
        <w:sz w:val="17"/>
        <w:szCs w:val="17"/>
        <w:lang w:val="en-GB"/>
      </w:rPr>
      <w:t>NZIER’s standard terms of engagement for contract research can be found at www.nzier.org.nz.</w:t>
    </w:r>
  </w:p>
  <w:p w:rsidR="009C4797" w:rsidRPr="003E1B7D" w:rsidRDefault="009C4797" w:rsidP="00F9369D">
    <w:pPr>
      <w:pStyle w:val="zAddressdetails"/>
      <w:rPr>
        <w:rFonts w:cstheme="minorHAnsi"/>
        <w:snapToGrid w:val="0"/>
        <w:sz w:val="15"/>
        <w:szCs w:val="15"/>
        <w:lang w:val="en-GB"/>
      </w:rPr>
    </w:pPr>
    <w:r w:rsidRPr="003E1B7D">
      <w:rPr>
        <w:rFonts w:cstheme="minorHAnsi"/>
        <w:snapToGrid w:val="0"/>
        <w:sz w:val="15"/>
        <w:szCs w:val="15"/>
        <w:lang w:val="en-GB"/>
      </w:rPr>
      <w:t>While NZIER will use all reasonable endeavours in undertaking contract research and producing reports to ensure the information is as accurate as practicable, the Institute, its contributors, employees, and Board shall not be liable (whether in contract, tort (including negligence), equity or on any other basis) for any loss or damage sustained by any person relying on such work whatever the cause of such loss or damage.</w:t>
    </w:r>
  </w:p>
  <w:p w:rsidR="009C4797" w:rsidRPr="00315887" w:rsidRDefault="009C4797" w:rsidP="00AE01EA">
    <w:pPr>
      <w:pStyle w:val="zAddressdetails"/>
      <w:rPr>
        <w:snapToGrid w:val="0"/>
        <w:lang w:val="en-GB"/>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797" w:rsidRPr="00353D2D" w:rsidRDefault="009C4797" w:rsidP="00AE01EA">
    <w:pPr>
      <w:pStyle w:val="zFooterEvenPortrait"/>
    </w:pPr>
    <w:r>
      <w:t xml:space="preserve">NZIER report - </w:t>
    </w:r>
    <w:r>
      <w:rPr>
        <w:noProof w:val="0"/>
      </w:rPr>
      <w:fldChar w:fldCharType="begin"/>
    </w:r>
    <w:r>
      <w:instrText xml:space="preserve"> STYLEREF  "Title" </w:instrText>
    </w:r>
    <w:r>
      <w:rPr>
        <w:noProof w:val="0"/>
      </w:rPr>
      <w:fldChar w:fldCharType="separate"/>
    </w:r>
    <w:r>
      <w:rPr>
        <w:b/>
        <w:bCs/>
        <w:lang w:val="en-US"/>
      </w:rPr>
      <w:t>Error! No text of specified style in document.</w:t>
    </w:r>
    <w:r>
      <w:fldChar w:fldCharType="end"/>
    </w:r>
    <w:r>
      <w:tab/>
    </w:r>
    <w:r>
      <w:fldChar w:fldCharType="begin"/>
    </w:r>
    <w:r>
      <w:instrText xml:space="preserve"> PAGE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797" w:rsidRPr="00F9369D" w:rsidRDefault="009C4797" w:rsidP="00326628">
    <w:pPr>
      <w:pStyle w:val="zFooterOddPortrait"/>
      <w:pBdr>
        <w:top w:val="single" w:sz="6" w:space="1" w:color="008EC0"/>
      </w:pBdr>
      <w:tabs>
        <w:tab w:val="clear" w:pos="6804"/>
        <w:tab w:val="right" w:pos="7655"/>
      </w:tabs>
      <w:rPr>
        <w:rFonts w:cstheme="minorHAnsi"/>
        <w:b/>
        <w:color w:val="808080" w:themeColor="background1" w:themeShade="80"/>
        <w:sz w:val="18"/>
        <w:szCs w:val="18"/>
      </w:rPr>
    </w:pPr>
    <w:r w:rsidRPr="00093A70">
      <w:rPr>
        <w:rFonts w:cstheme="minorHAnsi"/>
        <w:b/>
        <w:color w:val="808080" w:themeColor="background1" w:themeShade="80"/>
        <w:sz w:val="18"/>
        <w:szCs w:val="18"/>
      </w:rPr>
      <w:t>NZIER report -</w:t>
    </w:r>
    <w:r>
      <w:rPr>
        <w:rFonts w:cstheme="minorHAnsi"/>
        <w:b/>
        <w:color w:val="808080" w:themeColor="background1" w:themeShade="80"/>
        <w:sz w:val="18"/>
        <w:szCs w:val="18"/>
      </w:rPr>
      <w:fldChar w:fldCharType="begin"/>
    </w:r>
    <w:r>
      <w:rPr>
        <w:rFonts w:cstheme="minorHAnsi"/>
        <w:b/>
        <w:color w:val="808080" w:themeColor="background1" w:themeShade="80"/>
        <w:sz w:val="18"/>
        <w:szCs w:val="18"/>
      </w:rPr>
      <w:instrText xml:space="preserve"> STYLEREF  "NZIER Title"  \* MERGEFORMAT </w:instrText>
    </w:r>
    <w:r>
      <w:rPr>
        <w:rFonts w:cstheme="minorHAnsi"/>
        <w:b/>
        <w:color w:val="808080" w:themeColor="background1" w:themeShade="80"/>
        <w:sz w:val="18"/>
        <w:szCs w:val="18"/>
      </w:rPr>
      <w:fldChar w:fldCharType="separate"/>
    </w:r>
    <w:r w:rsidR="00124382">
      <w:rPr>
        <w:rFonts w:cstheme="minorHAnsi"/>
        <w:b/>
        <w:noProof/>
        <w:color w:val="808080" w:themeColor="background1" w:themeShade="80"/>
        <w:sz w:val="18"/>
        <w:szCs w:val="18"/>
      </w:rPr>
      <w:t>Sport and events facilities</w:t>
    </w:r>
    <w:r>
      <w:rPr>
        <w:rFonts w:cstheme="minorHAnsi"/>
        <w:b/>
        <w:color w:val="808080" w:themeColor="background1" w:themeShade="80"/>
        <w:sz w:val="18"/>
        <w:szCs w:val="18"/>
      </w:rPr>
      <w:fldChar w:fldCharType="end"/>
    </w:r>
    <w:r w:rsidRPr="00093A70">
      <w:rPr>
        <w:rFonts w:cstheme="minorHAnsi"/>
        <w:b/>
        <w:color w:val="808080" w:themeColor="background1" w:themeShade="80"/>
        <w:sz w:val="18"/>
        <w:szCs w:val="18"/>
      </w:rPr>
      <w:tab/>
    </w:r>
    <w:r w:rsidRPr="00093A70">
      <w:rPr>
        <w:rFonts w:cstheme="minorHAnsi"/>
        <w:b/>
        <w:color w:val="808080" w:themeColor="background1" w:themeShade="80"/>
        <w:sz w:val="18"/>
        <w:szCs w:val="18"/>
      </w:rPr>
      <w:fldChar w:fldCharType="begin"/>
    </w:r>
    <w:r w:rsidRPr="00093A70">
      <w:rPr>
        <w:rFonts w:cstheme="minorHAnsi"/>
        <w:b/>
        <w:color w:val="808080" w:themeColor="background1" w:themeShade="80"/>
        <w:sz w:val="18"/>
        <w:szCs w:val="18"/>
      </w:rPr>
      <w:instrText xml:space="preserve"> PAGE   \* MERGEFORMAT </w:instrText>
    </w:r>
    <w:r w:rsidRPr="00093A70">
      <w:rPr>
        <w:rFonts w:cstheme="minorHAnsi"/>
        <w:b/>
        <w:color w:val="808080" w:themeColor="background1" w:themeShade="80"/>
        <w:sz w:val="18"/>
        <w:szCs w:val="18"/>
      </w:rPr>
      <w:fldChar w:fldCharType="separate"/>
    </w:r>
    <w:r w:rsidR="00124382">
      <w:rPr>
        <w:rFonts w:cstheme="minorHAnsi"/>
        <w:b/>
        <w:noProof/>
        <w:color w:val="808080" w:themeColor="background1" w:themeShade="80"/>
        <w:sz w:val="18"/>
        <w:szCs w:val="18"/>
      </w:rPr>
      <w:t>ii</w:t>
    </w:r>
    <w:r w:rsidRPr="00093A70">
      <w:rPr>
        <w:rFonts w:cstheme="minorHAnsi"/>
        <w:b/>
        <w:color w:val="808080" w:themeColor="background1" w:themeShade="80"/>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797" w:rsidRDefault="009C4797" w:rsidP="00AE01EA">
    <w:pPr>
      <w:pStyle w:val="Footer"/>
    </w:pPr>
    <w:r>
      <w:t xml:space="preserve">NZIER report - </w:t>
    </w:r>
    <w:r>
      <w:fldChar w:fldCharType="begin"/>
    </w:r>
    <w:r>
      <w:instrText xml:space="preserve"> REF ReportTitle \h </w:instrText>
    </w:r>
    <w:r>
      <w:fldChar w:fldCharType="separate"/>
    </w:r>
    <w:r>
      <w:rPr>
        <w:b/>
        <w:bCs/>
        <w:lang w:val="en-US"/>
      </w:rPr>
      <w:t>Error! Reference source not found.</w:t>
    </w:r>
    <w:r>
      <w:fldChar w:fldCharType="end"/>
    </w:r>
    <w:r>
      <w:tab/>
    </w:r>
    <w:r>
      <w:fldChar w:fldCharType="begin"/>
    </w:r>
    <w:r>
      <w:instrText xml:space="preserve"> PAGE   \* MERGEFORMAT </w:instrText>
    </w:r>
    <w:r>
      <w:fldChar w:fldCharType="separate"/>
    </w:r>
    <w:r>
      <w:rPr>
        <w:noProof/>
      </w:rPr>
      <w:t>i</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797" w:rsidRPr="00F90AA7" w:rsidRDefault="009C4797" w:rsidP="001A5A15">
    <w:pPr>
      <w:pStyle w:val="Footer"/>
      <w:pBdr>
        <w:top w:val="single" w:sz="6" w:space="1" w:color="008EC0"/>
      </w:pBdr>
      <w:tabs>
        <w:tab w:val="clear" w:pos="6804"/>
        <w:tab w:val="right" w:pos="7655"/>
      </w:tabs>
    </w:pPr>
    <w:r w:rsidRPr="007A7C06">
      <w:rPr>
        <w:rFonts w:cstheme="minorHAnsi"/>
        <w:b/>
        <w:color w:val="808080" w:themeColor="background1" w:themeShade="80"/>
        <w:sz w:val="18"/>
        <w:szCs w:val="18"/>
      </w:rPr>
      <w:t>NZIER report -</w:t>
    </w:r>
    <w:r>
      <w:rPr>
        <w:rFonts w:cstheme="minorHAnsi"/>
        <w:b/>
        <w:color w:val="808080" w:themeColor="background1" w:themeShade="80"/>
        <w:sz w:val="18"/>
        <w:szCs w:val="18"/>
      </w:rPr>
      <w:fldChar w:fldCharType="begin"/>
    </w:r>
    <w:r>
      <w:rPr>
        <w:rFonts w:cstheme="minorHAnsi"/>
        <w:b/>
        <w:color w:val="808080" w:themeColor="background1" w:themeShade="80"/>
        <w:sz w:val="18"/>
        <w:szCs w:val="18"/>
      </w:rPr>
      <w:instrText xml:space="preserve"> STYLEREF  "NZIER Title"  \* MERGEFORMAT </w:instrText>
    </w:r>
    <w:r>
      <w:rPr>
        <w:rFonts w:cstheme="minorHAnsi"/>
        <w:b/>
        <w:color w:val="808080" w:themeColor="background1" w:themeShade="80"/>
        <w:sz w:val="18"/>
        <w:szCs w:val="18"/>
      </w:rPr>
      <w:fldChar w:fldCharType="separate"/>
    </w:r>
    <w:r w:rsidR="00124382">
      <w:rPr>
        <w:rFonts w:cstheme="minorHAnsi"/>
        <w:b/>
        <w:noProof/>
        <w:color w:val="808080" w:themeColor="background1" w:themeShade="80"/>
        <w:sz w:val="18"/>
        <w:szCs w:val="18"/>
      </w:rPr>
      <w:t>Sport and events facilities</w:t>
    </w:r>
    <w:r>
      <w:rPr>
        <w:rFonts w:cstheme="minorHAnsi"/>
        <w:b/>
        <w:color w:val="808080" w:themeColor="background1" w:themeShade="80"/>
        <w:sz w:val="18"/>
        <w:szCs w:val="18"/>
      </w:rPr>
      <w:fldChar w:fldCharType="end"/>
    </w:r>
    <w:r w:rsidRPr="007A7C06">
      <w:rPr>
        <w:rFonts w:cstheme="minorHAnsi"/>
        <w:b/>
        <w:color w:val="808080" w:themeColor="background1" w:themeShade="80"/>
        <w:sz w:val="18"/>
        <w:szCs w:val="18"/>
      </w:rPr>
      <w:tab/>
    </w:r>
    <w:r w:rsidRPr="007A7C06">
      <w:rPr>
        <w:rFonts w:cstheme="minorHAnsi"/>
        <w:b/>
        <w:color w:val="808080" w:themeColor="background1" w:themeShade="80"/>
        <w:sz w:val="18"/>
        <w:szCs w:val="18"/>
      </w:rPr>
      <w:fldChar w:fldCharType="begin"/>
    </w:r>
    <w:r w:rsidRPr="007A7C06">
      <w:rPr>
        <w:rFonts w:cstheme="minorHAnsi"/>
        <w:b/>
        <w:color w:val="808080" w:themeColor="background1" w:themeShade="80"/>
        <w:sz w:val="18"/>
        <w:szCs w:val="18"/>
      </w:rPr>
      <w:instrText xml:space="preserve"> PAGE   \* MERGEFORMAT </w:instrText>
    </w:r>
    <w:r w:rsidRPr="007A7C06">
      <w:rPr>
        <w:rFonts w:cstheme="minorHAnsi"/>
        <w:b/>
        <w:color w:val="808080" w:themeColor="background1" w:themeShade="80"/>
        <w:sz w:val="18"/>
        <w:szCs w:val="18"/>
      </w:rPr>
      <w:fldChar w:fldCharType="separate"/>
    </w:r>
    <w:r w:rsidR="00124382">
      <w:rPr>
        <w:rFonts w:cstheme="minorHAnsi"/>
        <w:b/>
        <w:noProof/>
        <w:color w:val="808080" w:themeColor="background1" w:themeShade="80"/>
        <w:sz w:val="18"/>
        <w:szCs w:val="18"/>
      </w:rPr>
      <w:t>11</w:t>
    </w:r>
    <w:r w:rsidRPr="007A7C06">
      <w:rPr>
        <w:rFonts w:cstheme="minorHAnsi"/>
        <w:b/>
        <w:noProof/>
        <w:color w:val="808080" w:themeColor="background1" w:themeShade="8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797" w:rsidRDefault="009C4797" w:rsidP="00AE01EA">
      <w:r>
        <w:separator/>
      </w:r>
    </w:p>
  </w:footnote>
  <w:footnote w:type="continuationSeparator" w:id="0">
    <w:p w:rsidR="009C4797" w:rsidRDefault="009C4797" w:rsidP="00AE01EA">
      <w:r>
        <w:continuationSeparator/>
      </w:r>
    </w:p>
  </w:footnote>
  <w:footnote w:id="1">
    <w:p w:rsidR="009C4797" w:rsidRDefault="009C4797">
      <w:pPr>
        <w:pStyle w:val="FootnoteText"/>
      </w:pPr>
      <w:r>
        <w:rPr>
          <w:rStyle w:val="FootnoteReference"/>
        </w:rPr>
        <w:footnoteRef/>
      </w:r>
      <w:r>
        <w:t xml:space="preserve"> They are sometimes located in flood plains or over old landfills that have physical hazards for higher value use</w:t>
      </w:r>
    </w:p>
  </w:footnote>
  <w:footnote w:id="2">
    <w:p w:rsidR="009C4797" w:rsidRDefault="009C4797">
      <w:pPr>
        <w:pStyle w:val="FootnoteText"/>
      </w:pPr>
      <w:r>
        <w:rPr>
          <w:rStyle w:val="FootnoteReference"/>
        </w:rPr>
        <w:footnoteRef/>
      </w:r>
      <w:r>
        <w:t xml:space="preserve"> Current ‘fitness for purpose’ is also affected by how the facility has been used and maintained.</w:t>
      </w:r>
    </w:p>
  </w:footnote>
  <w:footnote w:id="3">
    <w:p w:rsidR="009C4797" w:rsidRDefault="009C4797">
      <w:pPr>
        <w:pStyle w:val="FootnoteText"/>
      </w:pPr>
      <w:r>
        <w:rPr>
          <w:rStyle w:val="FootnoteReference"/>
        </w:rPr>
        <w:footnoteRef/>
      </w:r>
      <w:r>
        <w:t xml:space="preserve"> Translating ‘uniqueness’ into a measureable rating is difficult. In practical terms it would be more clearly described as the availability of close substitute to the facility that are more conveniently located for people living outside the region.</w:t>
      </w:r>
    </w:p>
  </w:footnote>
  <w:footnote w:id="4">
    <w:p w:rsidR="009C4797" w:rsidRDefault="009C4797" w:rsidP="00FC46DC">
      <w:pPr>
        <w:pStyle w:val="FootnoteText"/>
      </w:pPr>
      <w:r>
        <w:rPr>
          <w:rStyle w:val="FootnoteReference"/>
        </w:rPr>
        <w:footnoteRef/>
      </w:r>
      <w:r>
        <w:t xml:space="preserve"> The ‘Wellington Regional Sports Field Strategy’ prepared for the Wellington Territorial Authorities by Longdill and Associates in September 2013 is an example of the feasibility and limitations of this approach for the current configuration of councils. The objective of the report was to inform decision on the future provision of winter sports fields for the three main winter codes rugby, football and league. The report concluded that across the region there was a 20 percent surplus of capacity for weekend competition but a 20 percent deficit for weekday training, Wellington had fewer fields per capita than other TAs and that teams coped with the shortage of training capacity by using indoor venues or other playing surfaces.</w:t>
      </w:r>
    </w:p>
  </w:footnote>
  <w:footnote w:id="5">
    <w:p w:rsidR="009C4797" w:rsidRDefault="009C4797">
      <w:pPr>
        <w:pStyle w:val="FootnoteText"/>
      </w:pPr>
      <w:r>
        <w:rPr>
          <w:rStyle w:val="FootnoteReference"/>
        </w:rPr>
        <w:footnoteRef/>
      </w:r>
      <w:r>
        <w:t xml:space="preserve"> Another example is the earthquake strengthening of the Tawa swimming pool apparently with only cursory consideration of whether the facility was still required given the proximity of swimming pool facilities in both Porirua and Johnsonville that were expanded or built after the swimming pool in Tawa.</w:t>
      </w:r>
    </w:p>
  </w:footnote>
  <w:footnote w:id="6">
    <w:p w:rsidR="009C4797" w:rsidRDefault="009C4797">
      <w:pPr>
        <w:pStyle w:val="FootnoteText"/>
      </w:pPr>
      <w:r>
        <w:rPr>
          <w:rStyle w:val="FootnoteReference"/>
        </w:rPr>
        <w:footnoteRef/>
      </w:r>
      <w:r>
        <w:t xml:space="preserve"> The Wairarapa councils did not have data on long term capital plans and are not included in the following tables.</w:t>
      </w:r>
    </w:p>
  </w:footnote>
  <w:footnote w:id="7">
    <w:p w:rsidR="009C4797" w:rsidRDefault="009C4797">
      <w:pPr>
        <w:pStyle w:val="FootnoteText"/>
      </w:pPr>
      <w:r>
        <w:rPr>
          <w:rStyle w:val="FootnoteReference"/>
        </w:rPr>
        <w:footnoteRef/>
      </w:r>
      <w:r>
        <w:t xml:space="preserve"> We estimate that Wellington City Council operational spending on sport and recreation per capita is about double that of the other councils in the region and the level of non rate revenue per capita is about two to three times that of the other councils.</w:t>
      </w:r>
    </w:p>
  </w:footnote>
  <w:footnote w:id="8">
    <w:p w:rsidR="00C90E77" w:rsidRDefault="00C90E77">
      <w:pPr>
        <w:pStyle w:val="FootnoteText"/>
      </w:pPr>
      <w:r>
        <w:rPr>
          <w:rStyle w:val="FootnoteReference"/>
        </w:rPr>
        <w:footnoteRef/>
      </w:r>
      <w:r>
        <w:t xml:space="preserve"> The Wairarapa councils were not included because we were not able to obtain comparable capital spending information in the time available to complete this report.)</w:t>
      </w:r>
    </w:p>
  </w:footnote>
  <w:footnote w:id="9">
    <w:p w:rsidR="001A4790" w:rsidRDefault="001A4790">
      <w:pPr>
        <w:pStyle w:val="FootnoteText"/>
      </w:pPr>
      <w:r>
        <w:rPr>
          <w:rStyle w:val="FootnoteReference"/>
        </w:rPr>
        <w:footnoteRef/>
      </w:r>
      <w:r>
        <w:t xml:space="preserve"> These groupings are described as approximate and indicative because each council seems to use slightly different groupings of the operational and capital spending </w:t>
      </w:r>
      <w:r w:rsidR="00C90E77">
        <w:t>in their long term p</w:t>
      </w:r>
      <w:r>
        <w:t>l</w:t>
      </w:r>
      <w:r w:rsidR="00C90E77">
        <w:t>a</w:t>
      </w:r>
      <w:r>
        <w:t>ns.</w:t>
      </w:r>
    </w:p>
  </w:footnote>
  <w:footnote w:id="10">
    <w:p w:rsidR="009C4797" w:rsidRDefault="009C4797">
      <w:pPr>
        <w:pStyle w:val="FootnoteText"/>
      </w:pPr>
      <w:r>
        <w:rPr>
          <w:rStyle w:val="FootnoteReference"/>
        </w:rPr>
        <w:footnoteRef/>
      </w:r>
      <w:r>
        <w:t xml:space="preserve"> This could be due to the easy rider syndrome – the main city and attractor of tourists often spends more on open space/recreation facilities than peripheral settlements in the same urban area, because residents of the periphery can travel to the centre to use its spaces more readily than central residents can travel out. May also be that some underlying input costs such as land are simply higher in Wellington.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797" w:rsidRDefault="009C4797" w:rsidP="00AE01E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317.45pt;margin-top:310.35pt;width:474.8pt;height:88.55pt;rotation:270;z-index:-251646976;mso-position-horizontal-relative:text;mso-position-vertical-relative:text" strokecolor="#a5a5a5 [2092]">
          <v:fill r:id="rId1" o:title=""/>
          <v:shadow color="#868686"/>
          <v:textpath style="font-family:&quot;Arial Black&quot;;v-text-kern:t" trim="t" fitpath="t" string="D R A F 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797" w:rsidRDefault="009C4797" w:rsidP="00AE01E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317.45pt;margin-top:310.35pt;width:474.8pt;height:88.55pt;rotation:270;z-index:-251651072;mso-position-horizontal-relative:text;mso-position-vertical-relative:text" strokecolor="#a5a5a5 [2092]">
          <v:fill r:id="rId1" o:title=""/>
          <v:shadow color="#868686"/>
          <v:textpath style="font-family:&quot;Arial Black&quot;;v-text-kern:t" trim="t" fitpath="t" string="D R A F 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797" w:rsidRDefault="009C4797" w:rsidP="00AE01EA">
    <w:pPr>
      <w:pStyle w:val="Header"/>
    </w:pPr>
    <w:r>
      <w:rPr>
        <w:noProof/>
        <w:lang w:eastAsia="en-NZ"/>
      </w:rPr>
      <w:drawing>
        <wp:anchor distT="0" distB="0" distL="114300" distR="114300" simplePos="0" relativeHeight="251689984" behindDoc="0" locked="0" layoutInCell="1" allowOverlap="1" wp14:anchorId="1254A1AB" wp14:editId="53CAD970">
          <wp:simplePos x="0" y="0"/>
          <wp:positionH relativeFrom="column">
            <wp:posOffset>2887345</wp:posOffset>
          </wp:positionH>
          <wp:positionV relativeFrom="paragraph">
            <wp:posOffset>-299720</wp:posOffset>
          </wp:positionV>
          <wp:extent cx="2826000" cy="1065600"/>
          <wp:effectExtent l="0" t="0" r="0" b="1270"/>
          <wp:wrapNone/>
          <wp:docPr id="3" name="Picture 3" descr="C:\Users\jessicam\AppData\Local\Temp\Rar$DR67.936\Logo files\Full colour\nzi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ssicam\AppData\Local\Temp\Rar$DR67.936\Logo files\Full colour\nzier-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26000" cy="1065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797" w:rsidRDefault="009C4797" w:rsidP="00AE01E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317.45pt;margin-top:310.35pt;width:474.8pt;height:88.55pt;rotation:270;z-index:-251642880;mso-position-horizontal-relative:text;mso-position-vertical-relative:text" strokecolor="#a5a5a5 [2092]">
          <v:fill r:id="rId1" o:title=""/>
          <v:shadow color="#868686"/>
          <v:textpath style="font-family:&quot;Arial Black&quot;;v-text-kern:t" trim="t" fitpath="t" string="D R A F T"/>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797" w:rsidRDefault="009C4797" w:rsidP="00AE01E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797" w:rsidRDefault="009C4797" w:rsidP="00AE01E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317.45pt;margin-top:310.35pt;width:474.8pt;height:88.55pt;rotation:270;z-index:-251636736;mso-position-horizontal-relative:text;mso-position-vertical-relative:text" strokecolor="#a5a5a5 [2092]">
          <v:fill r:id="rId1" o:title=""/>
          <v:shadow color="#868686"/>
          <v:textpath style="font-family:&quot;Arial Black&quot;;v-text-kern:t" trim="t" fitpath="t" string="D R A F 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797" w:rsidRPr="00C17D87" w:rsidRDefault="009C4797" w:rsidP="00AE01E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797" w:rsidRDefault="009C4797" w:rsidP="00AE01E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margin-left:-317.45pt;margin-top:310.35pt;width:474.8pt;height:88.55pt;rotation:270;z-index:-251638784;mso-position-horizontal-relative:text;mso-position-vertical-relative:text" strokecolor="#a5a5a5 [2092]">
          <v:fill r:id="rId1" o:title=""/>
          <v:shadow color="#868686"/>
          <v:textpath style="font-family:&quot;Arial Black&quot;;v-text-kern:t" trim="t" fitpath="t" string="D R A F 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43A4B"/>
    <w:multiLevelType w:val="multilevel"/>
    <w:tmpl w:val="CF9ACF38"/>
    <w:styleLink w:val="NZIERBullet1List"/>
    <w:lvl w:ilvl="0">
      <w:start w:val="1"/>
      <w:numFmt w:val="bullet"/>
      <w:pStyle w:val="Bullet"/>
      <w:lvlText w:val=""/>
      <w:lvlJc w:val="left"/>
      <w:pPr>
        <w:tabs>
          <w:tab w:val="num" w:pos="851"/>
        </w:tabs>
        <w:ind w:left="851" w:hanging="426"/>
      </w:pPr>
      <w:rPr>
        <w:rFonts w:ascii="Symbol" w:hAnsi="Symbol" w:hint="default"/>
        <w:color w:val="auto"/>
      </w:rPr>
    </w:lvl>
    <w:lvl w:ilvl="1">
      <w:start w:val="1"/>
      <w:numFmt w:val="bullet"/>
      <w:pStyle w:val="Bullet2ndlevel"/>
      <w:lvlText w:val=""/>
      <w:lvlJc w:val="left"/>
      <w:pPr>
        <w:tabs>
          <w:tab w:val="num" w:pos="1276"/>
        </w:tabs>
        <w:ind w:left="1276" w:hanging="425"/>
      </w:pPr>
      <w:rPr>
        <w:rFonts w:ascii="Symbol" w:hAnsi="Symbol" w:hint="default"/>
        <w:color w:val="auto"/>
      </w:rPr>
    </w:lvl>
    <w:lvl w:ilvl="2">
      <w:start w:val="1"/>
      <w:numFmt w:val="bullet"/>
      <w:pStyle w:val="Bullet3rdlevel"/>
      <w:lvlText w:val=""/>
      <w:lvlJc w:val="left"/>
      <w:pPr>
        <w:tabs>
          <w:tab w:val="num" w:pos="1701"/>
        </w:tabs>
        <w:ind w:left="1701" w:hanging="425"/>
      </w:pPr>
      <w:rPr>
        <w:rFonts w:ascii="Symbol" w:hAnsi="Symbol" w:hint="default"/>
        <w:color w:val="auto"/>
      </w:rPr>
    </w:lvl>
    <w:lvl w:ilvl="3">
      <w:start w:val="1"/>
      <w:numFmt w:val="none"/>
      <w:lvlText w:val=""/>
      <w:lvlJc w:val="left"/>
      <w:pPr>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
    <w:nsid w:val="29130184"/>
    <w:multiLevelType w:val="multilevel"/>
    <w:tmpl w:val="644643CE"/>
    <w:lvl w:ilvl="0">
      <w:start w:val="1"/>
      <w:numFmt w:val="decimal"/>
      <w:pStyle w:val="Heading1"/>
      <w:lvlText w:val="%1."/>
      <w:lvlJc w:val="left"/>
      <w:pPr>
        <w:ind w:left="851" w:hanging="851"/>
      </w:pPr>
      <w:rPr>
        <w:rFonts w:hint="default"/>
      </w:rPr>
    </w:lvl>
    <w:lvl w:ilvl="1">
      <w:start w:val="1"/>
      <w:numFmt w:val="decimal"/>
      <w:pStyle w:val="Heading2"/>
      <w:lvlText w:val="%1.%2."/>
      <w:lvlJc w:val="left"/>
      <w:pPr>
        <w:ind w:left="1134" w:hanging="1134"/>
      </w:pPr>
      <w:rPr>
        <w:rFonts w:hint="default"/>
      </w:rPr>
    </w:lvl>
    <w:lvl w:ilvl="2">
      <w:start w:val="1"/>
      <w:numFmt w:val="decimal"/>
      <w:pStyle w:val="Heading3"/>
      <w:lvlText w:val="%1.%2.%3."/>
      <w:lvlJc w:val="left"/>
      <w:pPr>
        <w:ind w:left="1559" w:hanging="1559"/>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3AF92398"/>
    <w:multiLevelType w:val="multilevel"/>
    <w:tmpl w:val="B52A983E"/>
    <w:styleLink w:val="NZIERAppendixlist"/>
    <w:lvl w:ilvl="0">
      <w:start w:val="1"/>
      <w:numFmt w:val="upperLetter"/>
      <w:pStyle w:val="Appendixheading1"/>
      <w:suff w:val="space"/>
      <w:lvlText w:val="Appendix %1"/>
      <w:lvlJc w:val="left"/>
      <w:pPr>
        <w:ind w:left="0" w:firstLine="0"/>
      </w:pPr>
      <w:rPr>
        <w:rFonts w:hint="default"/>
      </w:rPr>
    </w:lvl>
    <w:lvl w:ilvl="1">
      <w:start w:val="1"/>
      <w:numFmt w:val="decimal"/>
      <w:pStyle w:val="Appendixheading2"/>
      <w:lvlText w:val="%1.%2"/>
      <w:lvlJc w:val="left"/>
      <w:pPr>
        <w:ind w:left="0" w:firstLine="0"/>
      </w:pPr>
      <w:rPr>
        <w:rFonts w:hint="default"/>
      </w:rPr>
    </w:lvl>
    <w:lvl w:ilvl="2">
      <w:start w:val="1"/>
      <w:numFmt w:val="decimal"/>
      <w:pStyle w:val="Appendixheading3"/>
      <w:lvlText w:val="%1.%2.%3"/>
      <w:lvlJc w:val="left"/>
      <w:pPr>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nsid w:val="3DAB147C"/>
    <w:multiLevelType w:val="multilevel"/>
    <w:tmpl w:val="CEF40430"/>
    <w:styleLink w:val="NZIERHeadinglist"/>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none"/>
      <w:suff w:val="spac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numFmt w:val="none"/>
      <w:lvlText w:val="%9"/>
      <w:lvlJc w:val="left"/>
      <w:pPr>
        <w:ind w:left="0" w:firstLine="0"/>
      </w:pPr>
      <w:rPr>
        <w:rFonts w:hint="default"/>
      </w:rPr>
    </w:lvl>
  </w:abstractNum>
  <w:abstractNum w:abstractNumId="4">
    <w:nsid w:val="40B93FD4"/>
    <w:multiLevelType w:val="multilevel"/>
    <w:tmpl w:val="025CD9A0"/>
    <w:styleLink w:val="NZIERNumberedparagraphsList"/>
    <w:lvl w:ilvl="0">
      <w:start w:val="1"/>
      <w:numFmt w:val="decimal"/>
      <w:pStyle w:val="Numberedparagraphs"/>
      <w:lvlText w:val="%1."/>
      <w:lvlJc w:val="left"/>
      <w:pPr>
        <w:tabs>
          <w:tab w:val="num" w:pos="1571"/>
        </w:tabs>
        <w:ind w:left="1571" w:hanging="426"/>
      </w:pPr>
      <w:rPr>
        <w:rFonts w:hint="default"/>
      </w:rPr>
    </w:lvl>
    <w:lvl w:ilvl="1">
      <w:start w:val="1"/>
      <w:numFmt w:val="decimal"/>
      <w:lvlText w:val="%1.%2"/>
      <w:lvlJc w:val="left"/>
      <w:pPr>
        <w:tabs>
          <w:tab w:val="num" w:pos="1571"/>
        </w:tabs>
        <w:ind w:left="1571" w:hanging="426"/>
      </w:pPr>
      <w:rPr>
        <w:rFonts w:hint="default"/>
      </w:rPr>
    </w:lvl>
    <w:lvl w:ilvl="2">
      <w:start w:val="1"/>
      <w:numFmt w:val="decimal"/>
      <w:lvlText w:val="%1.%2.%3"/>
      <w:lvlJc w:val="left"/>
      <w:pPr>
        <w:tabs>
          <w:tab w:val="num" w:pos="1571"/>
        </w:tabs>
        <w:ind w:left="1571" w:hanging="426"/>
      </w:pPr>
      <w:rPr>
        <w:rFonts w:hint="default"/>
      </w:rPr>
    </w:lvl>
    <w:lvl w:ilvl="3">
      <w:start w:val="1"/>
      <w:numFmt w:val="lowerLetter"/>
      <w:lvlText w:val="(%4)"/>
      <w:lvlJc w:val="left"/>
      <w:pPr>
        <w:tabs>
          <w:tab w:val="num" w:pos="2138"/>
        </w:tabs>
        <w:ind w:left="2138" w:hanging="567"/>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5">
    <w:nsid w:val="7B623A02"/>
    <w:multiLevelType w:val="multilevel"/>
    <w:tmpl w:val="85A6BB88"/>
    <w:styleLink w:val="NZIERInstructionsbullet"/>
    <w:lvl w:ilvl="0">
      <w:start w:val="1"/>
      <w:numFmt w:val="bullet"/>
      <w:pStyle w:val="zInstructionsbullet"/>
      <w:lvlText w:val=""/>
      <w:lvlJc w:val="left"/>
      <w:pPr>
        <w:tabs>
          <w:tab w:val="num" w:pos="851"/>
        </w:tabs>
        <w:ind w:left="851" w:hanging="426"/>
      </w:pPr>
      <w:rPr>
        <w:rFonts w:ascii="Symbol" w:hAnsi="Symbol" w:hint="default"/>
        <w:color w:val="FFFFFF" w:themeColor="background1"/>
        <w:u w:color="FFFFFF" w:themeColor="background1"/>
      </w:rPr>
    </w:lvl>
    <w:lvl w:ilvl="1">
      <w:start w:val="1"/>
      <w:numFmt w:val="bullet"/>
      <w:lvlText w:val=""/>
      <w:lvlJc w:val="left"/>
      <w:pPr>
        <w:tabs>
          <w:tab w:val="num" w:pos="1276"/>
        </w:tabs>
        <w:ind w:left="1276" w:hanging="425"/>
      </w:pPr>
      <w:rPr>
        <w:rFonts w:ascii="Symbol" w:hAnsi="Symbol" w:hint="default"/>
        <w:u w:color="FFFFFF" w:themeColor="background1"/>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3"/>
  </w:num>
  <w:num w:numId="2">
    <w:abstractNumId w:val="0"/>
  </w:num>
  <w:num w:numId="3">
    <w:abstractNumId w:val="2"/>
  </w:num>
  <w:num w:numId="4">
    <w:abstractNumId w:val="4"/>
  </w:num>
  <w:num w:numId="5">
    <w:abstractNumId w:val="5"/>
  </w:num>
  <w:num w:numId="6">
    <w:abstractNumId w:val="2"/>
  </w:num>
  <w:num w:numId="7">
    <w:abstractNumId w:val="1"/>
  </w:num>
  <w:num w:numId="8">
    <w:abstractNumId w:val="1"/>
  </w:num>
  <w:num w:numId="9">
    <w:abstractNumId w:val="0"/>
  </w:num>
  <w:num w:numId="1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LockTheme/>
  <w:styleLockQFSet/>
  <w:defaultTabStop w:val="720"/>
  <w:displayHorizontalDrawingGridEvery w:val="0"/>
  <w:displayVerticalDrawingGridEvery w:val="0"/>
  <w:doNotUseMarginsForDrawingGridOrigin/>
  <w:noPunctuationKerning/>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tatus" w:val=" "/>
    <w:docVar w:name="WordOperator" w:val="AMW"/>
  </w:docVars>
  <w:rsids>
    <w:rsidRoot w:val="00C12BB5"/>
    <w:rsid w:val="000112DE"/>
    <w:rsid w:val="00012AF2"/>
    <w:rsid w:val="00012CAF"/>
    <w:rsid w:val="0002379D"/>
    <w:rsid w:val="000238E8"/>
    <w:rsid w:val="00024984"/>
    <w:rsid w:val="00031410"/>
    <w:rsid w:val="00031926"/>
    <w:rsid w:val="00035C14"/>
    <w:rsid w:val="00037882"/>
    <w:rsid w:val="00055024"/>
    <w:rsid w:val="00056E7C"/>
    <w:rsid w:val="00063563"/>
    <w:rsid w:val="00077319"/>
    <w:rsid w:val="00081E4E"/>
    <w:rsid w:val="000837FA"/>
    <w:rsid w:val="00087F5D"/>
    <w:rsid w:val="000934B3"/>
    <w:rsid w:val="0009545D"/>
    <w:rsid w:val="00096237"/>
    <w:rsid w:val="00096AE7"/>
    <w:rsid w:val="000C29BC"/>
    <w:rsid w:val="000D1C88"/>
    <w:rsid w:val="000E04E6"/>
    <w:rsid w:val="000E17E0"/>
    <w:rsid w:val="000E73E1"/>
    <w:rsid w:val="000F2905"/>
    <w:rsid w:val="00105059"/>
    <w:rsid w:val="001132DE"/>
    <w:rsid w:val="00113CF7"/>
    <w:rsid w:val="001150C0"/>
    <w:rsid w:val="00115C17"/>
    <w:rsid w:val="00120ADF"/>
    <w:rsid w:val="00124382"/>
    <w:rsid w:val="0012597A"/>
    <w:rsid w:val="00126C06"/>
    <w:rsid w:val="00141477"/>
    <w:rsid w:val="00142B05"/>
    <w:rsid w:val="0015111F"/>
    <w:rsid w:val="0015218D"/>
    <w:rsid w:val="001566BF"/>
    <w:rsid w:val="00162DDC"/>
    <w:rsid w:val="00163069"/>
    <w:rsid w:val="001636B5"/>
    <w:rsid w:val="00173B8B"/>
    <w:rsid w:val="00174CDF"/>
    <w:rsid w:val="00180A21"/>
    <w:rsid w:val="001826E7"/>
    <w:rsid w:val="00186326"/>
    <w:rsid w:val="001929EB"/>
    <w:rsid w:val="001A13CF"/>
    <w:rsid w:val="001A4790"/>
    <w:rsid w:val="001A5A15"/>
    <w:rsid w:val="001A5D3B"/>
    <w:rsid w:val="001A6FF6"/>
    <w:rsid w:val="001C1E02"/>
    <w:rsid w:val="001D08B0"/>
    <w:rsid w:val="001D161D"/>
    <w:rsid w:val="001E584D"/>
    <w:rsid w:val="001E70F1"/>
    <w:rsid w:val="001E751E"/>
    <w:rsid w:val="001F0C30"/>
    <w:rsid w:val="002007E5"/>
    <w:rsid w:val="00203427"/>
    <w:rsid w:val="002045EF"/>
    <w:rsid w:val="00220B88"/>
    <w:rsid w:val="00221175"/>
    <w:rsid w:val="00226443"/>
    <w:rsid w:val="00236804"/>
    <w:rsid w:val="00247A45"/>
    <w:rsid w:val="00264B6B"/>
    <w:rsid w:val="00282334"/>
    <w:rsid w:val="00286762"/>
    <w:rsid w:val="00286E2E"/>
    <w:rsid w:val="002D6EE4"/>
    <w:rsid w:val="00312F36"/>
    <w:rsid w:val="00313854"/>
    <w:rsid w:val="00313FB6"/>
    <w:rsid w:val="00315887"/>
    <w:rsid w:val="00321D9F"/>
    <w:rsid w:val="00325C43"/>
    <w:rsid w:val="00326628"/>
    <w:rsid w:val="00333A17"/>
    <w:rsid w:val="00345B4F"/>
    <w:rsid w:val="00350BDE"/>
    <w:rsid w:val="00353D2D"/>
    <w:rsid w:val="00355447"/>
    <w:rsid w:val="003634F5"/>
    <w:rsid w:val="00382C4A"/>
    <w:rsid w:val="003868C4"/>
    <w:rsid w:val="00386E7A"/>
    <w:rsid w:val="003962BD"/>
    <w:rsid w:val="003972A2"/>
    <w:rsid w:val="003979FE"/>
    <w:rsid w:val="003A1D45"/>
    <w:rsid w:val="003A2C52"/>
    <w:rsid w:val="003A74EC"/>
    <w:rsid w:val="003B1EFB"/>
    <w:rsid w:val="003B236A"/>
    <w:rsid w:val="003D600A"/>
    <w:rsid w:val="003E31F5"/>
    <w:rsid w:val="003F191C"/>
    <w:rsid w:val="003F2535"/>
    <w:rsid w:val="003F299E"/>
    <w:rsid w:val="003F54A0"/>
    <w:rsid w:val="003F7905"/>
    <w:rsid w:val="00404937"/>
    <w:rsid w:val="0040551C"/>
    <w:rsid w:val="00411B84"/>
    <w:rsid w:val="004209DF"/>
    <w:rsid w:val="00437401"/>
    <w:rsid w:val="00442EDF"/>
    <w:rsid w:val="00452248"/>
    <w:rsid w:val="00452FEB"/>
    <w:rsid w:val="0045508B"/>
    <w:rsid w:val="004556E2"/>
    <w:rsid w:val="00476368"/>
    <w:rsid w:val="00476E1F"/>
    <w:rsid w:val="0048782D"/>
    <w:rsid w:val="004879A1"/>
    <w:rsid w:val="00495EB7"/>
    <w:rsid w:val="004A63B0"/>
    <w:rsid w:val="004A6645"/>
    <w:rsid w:val="004B0F62"/>
    <w:rsid w:val="004B2C5D"/>
    <w:rsid w:val="004C0C3A"/>
    <w:rsid w:val="004C45B1"/>
    <w:rsid w:val="004D1A98"/>
    <w:rsid w:val="004D59E9"/>
    <w:rsid w:val="004D7536"/>
    <w:rsid w:val="004E0C63"/>
    <w:rsid w:val="005031C4"/>
    <w:rsid w:val="005037DF"/>
    <w:rsid w:val="00510E3A"/>
    <w:rsid w:val="005127E6"/>
    <w:rsid w:val="0051644D"/>
    <w:rsid w:val="00522B68"/>
    <w:rsid w:val="00541976"/>
    <w:rsid w:val="005477F8"/>
    <w:rsid w:val="00547E5C"/>
    <w:rsid w:val="005524AD"/>
    <w:rsid w:val="00566636"/>
    <w:rsid w:val="00572771"/>
    <w:rsid w:val="00572941"/>
    <w:rsid w:val="0057306C"/>
    <w:rsid w:val="00573DF0"/>
    <w:rsid w:val="0057402C"/>
    <w:rsid w:val="00575DB9"/>
    <w:rsid w:val="00577B2E"/>
    <w:rsid w:val="005821B1"/>
    <w:rsid w:val="00583922"/>
    <w:rsid w:val="00587A24"/>
    <w:rsid w:val="005B08BF"/>
    <w:rsid w:val="005C0385"/>
    <w:rsid w:val="005C2E38"/>
    <w:rsid w:val="005C3A84"/>
    <w:rsid w:val="005C4544"/>
    <w:rsid w:val="005C526C"/>
    <w:rsid w:val="005C547A"/>
    <w:rsid w:val="005D3568"/>
    <w:rsid w:val="005D56AB"/>
    <w:rsid w:val="005E566A"/>
    <w:rsid w:val="005F2E65"/>
    <w:rsid w:val="0060633A"/>
    <w:rsid w:val="006066BE"/>
    <w:rsid w:val="006112C5"/>
    <w:rsid w:val="006127BB"/>
    <w:rsid w:val="0062041B"/>
    <w:rsid w:val="00627666"/>
    <w:rsid w:val="006307CC"/>
    <w:rsid w:val="006313E7"/>
    <w:rsid w:val="00632030"/>
    <w:rsid w:val="00633BC5"/>
    <w:rsid w:val="00633F52"/>
    <w:rsid w:val="00642A0B"/>
    <w:rsid w:val="00642BE8"/>
    <w:rsid w:val="00643138"/>
    <w:rsid w:val="00652355"/>
    <w:rsid w:val="0065325A"/>
    <w:rsid w:val="006545C6"/>
    <w:rsid w:val="00656963"/>
    <w:rsid w:val="00664E51"/>
    <w:rsid w:val="0068043D"/>
    <w:rsid w:val="006871FE"/>
    <w:rsid w:val="00692976"/>
    <w:rsid w:val="00695C22"/>
    <w:rsid w:val="006A5FFE"/>
    <w:rsid w:val="006B34D2"/>
    <w:rsid w:val="006C5F86"/>
    <w:rsid w:val="006D232C"/>
    <w:rsid w:val="006D23FF"/>
    <w:rsid w:val="006D2FCA"/>
    <w:rsid w:val="006E0815"/>
    <w:rsid w:val="006E2781"/>
    <w:rsid w:val="006F6ADC"/>
    <w:rsid w:val="0070085C"/>
    <w:rsid w:val="00715C16"/>
    <w:rsid w:val="00731F80"/>
    <w:rsid w:val="00737296"/>
    <w:rsid w:val="00737C7E"/>
    <w:rsid w:val="00741954"/>
    <w:rsid w:val="00742074"/>
    <w:rsid w:val="00752FA3"/>
    <w:rsid w:val="007574F5"/>
    <w:rsid w:val="00763129"/>
    <w:rsid w:val="00763649"/>
    <w:rsid w:val="00764CBF"/>
    <w:rsid w:val="00767FAF"/>
    <w:rsid w:val="0077744F"/>
    <w:rsid w:val="007A5899"/>
    <w:rsid w:val="007A6A3D"/>
    <w:rsid w:val="007B126A"/>
    <w:rsid w:val="007B3848"/>
    <w:rsid w:val="007D0015"/>
    <w:rsid w:val="007D43D3"/>
    <w:rsid w:val="007D5A2B"/>
    <w:rsid w:val="007E2414"/>
    <w:rsid w:val="007F35B4"/>
    <w:rsid w:val="007F4325"/>
    <w:rsid w:val="00820ED0"/>
    <w:rsid w:val="00824579"/>
    <w:rsid w:val="00826B8E"/>
    <w:rsid w:val="00841632"/>
    <w:rsid w:val="0084501B"/>
    <w:rsid w:val="00847689"/>
    <w:rsid w:val="00851260"/>
    <w:rsid w:val="00854A16"/>
    <w:rsid w:val="00865914"/>
    <w:rsid w:val="00870C1C"/>
    <w:rsid w:val="00873524"/>
    <w:rsid w:val="00883BB9"/>
    <w:rsid w:val="00883C7A"/>
    <w:rsid w:val="0088751F"/>
    <w:rsid w:val="008C1A3E"/>
    <w:rsid w:val="008D0D56"/>
    <w:rsid w:val="008D4C19"/>
    <w:rsid w:val="008D7E20"/>
    <w:rsid w:val="008E1250"/>
    <w:rsid w:val="008E1A57"/>
    <w:rsid w:val="008E316A"/>
    <w:rsid w:val="008E691C"/>
    <w:rsid w:val="009007FD"/>
    <w:rsid w:val="009215CC"/>
    <w:rsid w:val="00922AE1"/>
    <w:rsid w:val="009443BD"/>
    <w:rsid w:val="009448AB"/>
    <w:rsid w:val="0094525B"/>
    <w:rsid w:val="00950BEC"/>
    <w:rsid w:val="009540A2"/>
    <w:rsid w:val="00955509"/>
    <w:rsid w:val="009849DF"/>
    <w:rsid w:val="009908F8"/>
    <w:rsid w:val="00996B03"/>
    <w:rsid w:val="009B6D7A"/>
    <w:rsid w:val="009C4797"/>
    <w:rsid w:val="009C51DA"/>
    <w:rsid w:val="009E4B0B"/>
    <w:rsid w:val="009F3A42"/>
    <w:rsid w:val="009F7569"/>
    <w:rsid w:val="00A3232C"/>
    <w:rsid w:val="00A3629B"/>
    <w:rsid w:val="00A6312F"/>
    <w:rsid w:val="00A72766"/>
    <w:rsid w:val="00A82AB9"/>
    <w:rsid w:val="00A93733"/>
    <w:rsid w:val="00AA31D8"/>
    <w:rsid w:val="00AC5E28"/>
    <w:rsid w:val="00AC687C"/>
    <w:rsid w:val="00AE01EA"/>
    <w:rsid w:val="00AE52B5"/>
    <w:rsid w:val="00AE6EAD"/>
    <w:rsid w:val="00AE7ED2"/>
    <w:rsid w:val="00B00C73"/>
    <w:rsid w:val="00B22664"/>
    <w:rsid w:val="00B309B2"/>
    <w:rsid w:val="00B32B3B"/>
    <w:rsid w:val="00B33955"/>
    <w:rsid w:val="00B479E4"/>
    <w:rsid w:val="00B514BE"/>
    <w:rsid w:val="00B61B5A"/>
    <w:rsid w:val="00B65B4C"/>
    <w:rsid w:val="00B91921"/>
    <w:rsid w:val="00BA050E"/>
    <w:rsid w:val="00BB1628"/>
    <w:rsid w:val="00BB1842"/>
    <w:rsid w:val="00BB451D"/>
    <w:rsid w:val="00BB68DF"/>
    <w:rsid w:val="00BB6ED0"/>
    <w:rsid w:val="00BE30FA"/>
    <w:rsid w:val="00C000D7"/>
    <w:rsid w:val="00C12BB5"/>
    <w:rsid w:val="00C13B05"/>
    <w:rsid w:val="00C1481E"/>
    <w:rsid w:val="00C16EA5"/>
    <w:rsid w:val="00C17407"/>
    <w:rsid w:val="00C17B13"/>
    <w:rsid w:val="00C17D87"/>
    <w:rsid w:val="00C27D5E"/>
    <w:rsid w:val="00C3061D"/>
    <w:rsid w:val="00C335AB"/>
    <w:rsid w:val="00C454EF"/>
    <w:rsid w:val="00C54FFA"/>
    <w:rsid w:val="00C62D81"/>
    <w:rsid w:val="00C638CE"/>
    <w:rsid w:val="00C65C43"/>
    <w:rsid w:val="00C8765E"/>
    <w:rsid w:val="00C90D14"/>
    <w:rsid w:val="00C90E77"/>
    <w:rsid w:val="00C94CAF"/>
    <w:rsid w:val="00C95629"/>
    <w:rsid w:val="00CB0FEA"/>
    <w:rsid w:val="00CB69C8"/>
    <w:rsid w:val="00CB6CA9"/>
    <w:rsid w:val="00CC16B4"/>
    <w:rsid w:val="00CD4DE2"/>
    <w:rsid w:val="00CE7E8D"/>
    <w:rsid w:val="00CF4FAF"/>
    <w:rsid w:val="00D00595"/>
    <w:rsid w:val="00D048A2"/>
    <w:rsid w:val="00D06D2D"/>
    <w:rsid w:val="00D3708E"/>
    <w:rsid w:val="00D52B94"/>
    <w:rsid w:val="00D573DA"/>
    <w:rsid w:val="00D605C2"/>
    <w:rsid w:val="00D72D6E"/>
    <w:rsid w:val="00DA3461"/>
    <w:rsid w:val="00DA49CC"/>
    <w:rsid w:val="00DB083E"/>
    <w:rsid w:val="00DB6561"/>
    <w:rsid w:val="00DC4652"/>
    <w:rsid w:val="00DD76AC"/>
    <w:rsid w:val="00DE553E"/>
    <w:rsid w:val="00E02E0B"/>
    <w:rsid w:val="00E10D08"/>
    <w:rsid w:val="00E1330A"/>
    <w:rsid w:val="00E32C5C"/>
    <w:rsid w:val="00E463C8"/>
    <w:rsid w:val="00E55192"/>
    <w:rsid w:val="00E55731"/>
    <w:rsid w:val="00E76A76"/>
    <w:rsid w:val="00E86EA7"/>
    <w:rsid w:val="00E93BF5"/>
    <w:rsid w:val="00EA00B3"/>
    <w:rsid w:val="00EA5A10"/>
    <w:rsid w:val="00EB2DB9"/>
    <w:rsid w:val="00EC0106"/>
    <w:rsid w:val="00ED6189"/>
    <w:rsid w:val="00EF7070"/>
    <w:rsid w:val="00EF736D"/>
    <w:rsid w:val="00F0192A"/>
    <w:rsid w:val="00F0393E"/>
    <w:rsid w:val="00F05DCD"/>
    <w:rsid w:val="00F15477"/>
    <w:rsid w:val="00F17D3A"/>
    <w:rsid w:val="00F21530"/>
    <w:rsid w:val="00F3328F"/>
    <w:rsid w:val="00F41174"/>
    <w:rsid w:val="00F52A42"/>
    <w:rsid w:val="00F5430F"/>
    <w:rsid w:val="00F609DC"/>
    <w:rsid w:val="00F65C9A"/>
    <w:rsid w:val="00F67AF5"/>
    <w:rsid w:val="00F719DE"/>
    <w:rsid w:val="00F738F9"/>
    <w:rsid w:val="00F743E7"/>
    <w:rsid w:val="00F84377"/>
    <w:rsid w:val="00F902C6"/>
    <w:rsid w:val="00F90AA7"/>
    <w:rsid w:val="00F9369D"/>
    <w:rsid w:val="00FA0734"/>
    <w:rsid w:val="00FB57FD"/>
    <w:rsid w:val="00FB5A6C"/>
    <w:rsid w:val="00FC017A"/>
    <w:rsid w:val="00FC46DC"/>
    <w:rsid w:val="00FC77AC"/>
    <w:rsid w:val="00FE670D"/>
    <w:rsid w:val="00FF1EC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1" w:defUIPriority="0" w:defSemiHidden="0" w:defUnhideWhenUsed="0" w:defQFormat="0" w:count="267">
    <w:lsdException w:name="Normal" w:locked="0" w:qFormat="1"/>
    <w:lsdException w:name="heading 1" w:qFormat="1"/>
    <w:lsdException w:name="heading 2" w:qFormat="1"/>
    <w:lsdException w:name="heading 3" w:qFormat="1"/>
    <w:lsdException w:name="heading 4" w:qFormat="1"/>
    <w:lsdException w:name="heading 6" w:qFormat="1"/>
    <w:lsdException w:name="heading 7" w:qFormat="1"/>
    <w:lsdException w:name="heading 8"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toc 9" w:semiHidden="1"/>
    <w:lsdException w:name="Normal Indent" w:semiHidden="1"/>
    <w:lsdException w:name="annotation text" w:semiHidden="1"/>
    <w:lsdException w:name="index heading" w:semiHidden="1"/>
    <w:lsdException w:name="caption" w:qFormat="1"/>
    <w:lsdException w:name="table of figures" w:semiHidden="1" w:uiPriority="99"/>
    <w:lsdException w:name="envelope address" w:semiHidden="1"/>
    <w:lsdException w:name="envelope return" w:semiHidden="1"/>
    <w:lsdException w:name="annotation reference" w:semiHidden="1"/>
    <w:lsdException w:name="lin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Closing" w:semiHidden="1"/>
    <w:lsdException w:name="Signature" w:semiHidden="1"/>
    <w:lsdException w:name="Default Paragraph Font" w:locked="0"/>
    <w:lsdException w:name="Body Text" w:qFormat="1"/>
    <w:lsdException w:name="Body Text Indent" w:semiHidden="1" w:unhideWhenUsed="1"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locked="0"/>
    <w:lsdException w:name="HTML Bottom of Form" w:locked="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locked="0"/>
    <w:lsdException w:name="annotation subject" w:semiHidden="1"/>
    <w:lsdException w:name="No List" w:locked="0"/>
    <w:lsdException w:name="Balloon Text" w:semiHidden="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latentStyles>
  <w:style w:type="paragraph" w:default="1" w:styleId="Normal">
    <w:name w:val="Normal"/>
    <w:qFormat/>
    <w:rsid w:val="005E566A"/>
    <w:pPr>
      <w:spacing w:line="260" w:lineRule="atLeast"/>
    </w:pPr>
    <w:rPr>
      <w:rFonts w:asciiTheme="minorHAnsi" w:hAnsiTheme="minorHAnsi"/>
      <w:lang w:eastAsia="en-GB"/>
    </w:rPr>
  </w:style>
  <w:style w:type="paragraph" w:styleId="Heading1">
    <w:name w:val="heading 1"/>
    <w:basedOn w:val="Normal"/>
    <w:next w:val="BodyText"/>
    <w:qFormat/>
    <w:locked/>
    <w:rsid w:val="001E584D"/>
    <w:pPr>
      <w:keepNext/>
      <w:pageBreakBefore/>
      <w:numPr>
        <w:numId w:val="7"/>
      </w:numPr>
      <w:spacing w:after="240" w:line="240" w:lineRule="auto"/>
      <w:outlineLvl w:val="0"/>
    </w:pPr>
    <w:rPr>
      <w:rFonts w:ascii="Tahoma" w:hAnsi="Tahoma" w:cs="Tahoma"/>
      <w:color w:val="00B0F0"/>
      <w:sz w:val="52"/>
      <w:szCs w:val="52"/>
    </w:rPr>
  </w:style>
  <w:style w:type="paragraph" w:styleId="Heading2">
    <w:name w:val="heading 2"/>
    <w:basedOn w:val="Normal"/>
    <w:next w:val="BodyText"/>
    <w:qFormat/>
    <w:locked/>
    <w:rsid w:val="00C62D81"/>
    <w:pPr>
      <w:keepNext/>
      <w:numPr>
        <w:ilvl w:val="1"/>
        <w:numId w:val="7"/>
      </w:numPr>
      <w:spacing w:before="360" w:after="80" w:line="240" w:lineRule="auto"/>
      <w:outlineLvl w:val="1"/>
    </w:pPr>
    <w:rPr>
      <w:rFonts w:ascii="Tahoma" w:hAnsi="Tahoma" w:cs="Tahoma"/>
      <w:color w:val="00B0F0"/>
      <w:sz w:val="36"/>
      <w:szCs w:val="36"/>
    </w:rPr>
  </w:style>
  <w:style w:type="paragraph" w:styleId="Heading3">
    <w:name w:val="heading 3"/>
    <w:basedOn w:val="Normal"/>
    <w:next w:val="BodyText"/>
    <w:qFormat/>
    <w:locked/>
    <w:rsid w:val="004D7536"/>
    <w:pPr>
      <w:keepNext/>
      <w:numPr>
        <w:ilvl w:val="2"/>
        <w:numId w:val="7"/>
      </w:numPr>
      <w:spacing w:before="360" w:after="120" w:line="240" w:lineRule="auto"/>
      <w:outlineLvl w:val="2"/>
    </w:pPr>
    <w:rPr>
      <w:rFonts w:ascii="Tahoma" w:hAnsi="Tahoma" w:cs="Tahoma"/>
      <w:color w:val="43B1FB"/>
      <w:sz w:val="32"/>
      <w:szCs w:val="32"/>
    </w:rPr>
  </w:style>
  <w:style w:type="paragraph" w:styleId="Heading4">
    <w:name w:val="heading 4"/>
    <w:basedOn w:val="Normal"/>
    <w:next w:val="BodyText"/>
    <w:qFormat/>
    <w:locked/>
    <w:rsid w:val="004D7536"/>
    <w:pPr>
      <w:keepNext/>
      <w:spacing w:before="240" w:after="120" w:line="240" w:lineRule="auto"/>
      <w:outlineLvl w:val="3"/>
    </w:pPr>
    <w:rPr>
      <w:rFonts w:ascii="Tahoma" w:hAnsi="Tahoma" w:cs="Tahoma"/>
      <w:color w:val="43B1FB"/>
      <w:sz w:val="28"/>
      <w:szCs w:val="28"/>
    </w:rPr>
  </w:style>
  <w:style w:type="paragraph" w:styleId="Heading5">
    <w:name w:val="heading 5"/>
    <w:basedOn w:val="Normal"/>
    <w:next w:val="BodyText"/>
    <w:locked/>
    <w:rsid w:val="005E566A"/>
    <w:pPr>
      <w:keepNext/>
      <w:spacing w:before="240" w:after="120" w:line="240" w:lineRule="auto"/>
      <w:outlineLvl w:val="4"/>
    </w:pPr>
    <w:rPr>
      <w:rFonts w:ascii="Tahoma" w:hAnsi="Tahoma"/>
      <w:color w:val="00B0F0"/>
      <w:sz w:val="24"/>
    </w:rPr>
  </w:style>
  <w:style w:type="paragraph" w:styleId="Heading6">
    <w:name w:val="heading 6"/>
    <w:basedOn w:val="Normal"/>
    <w:next w:val="Heading7"/>
    <w:semiHidden/>
    <w:qFormat/>
    <w:locked/>
    <w:rsid w:val="00313FB6"/>
    <w:pPr>
      <w:outlineLvl w:val="5"/>
    </w:pPr>
  </w:style>
  <w:style w:type="paragraph" w:styleId="Heading7">
    <w:name w:val="heading 7"/>
    <w:basedOn w:val="Normal"/>
    <w:next w:val="BodyText"/>
    <w:semiHidden/>
    <w:qFormat/>
    <w:locked/>
    <w:rsid w:val="00313FB6"/>
    <w:pPr>
      <w:outlineLvl w:val="6"/>
    </w:pPr>
  </w:style>
  <w:style w:type="paragraph" w:styleId="Heading8">
    <w:name w:val="heading 8"/>
    <w:basedOn w:val="Normal"/>
    <w:next w:val="BodyText"/>
    <w:semiHidden/>
    <w:qFormat/>
    <w:locked/>
    <w:rsid w:val="00313FB6"/>
    <w:pPr>
      <w:outlineLvl w:val="7"/>
    </w:pPr>
  </w:style>
  <w:style w:type="paragraph" w:styleId="Heading9">
    <w:name w:val="heading 9"/>
    <w:basedOn w:val="Normal"/>
    <w:next w:val="BodyText"/>
    <w:semiHidden/>
    <w:locked/>
    <w:rsid w:val="00313FB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otation">
    <w:name w:val="Quotation"/>
    <w:basedOn w:val="BodyText"/>
    <w:unhideWhenUsed/>
    <w:locked/>
    <w:rsid w:val="001F0C30"/>
    <w:pPr>
      <w:ind w:left="851" w:right="851"/>
    </w:pPr>
    <w:rPr>
      <w:i/>
    </w:rPr>
  </w:style>
  <w:style w:type="paragraph" w:styleId="BodyText">
    <w:name w:val="Body Text"/>
    <w:basedOn w:val="Normal"/>
    <w:link w:val="BodyTextChar"/>
    <w:qFormat/>
    <w:locked/>
    <w:rsid w:val="00643138"/>
    <w:pPr>
      <w:spacing w:before="120" w:after="120"/>
      <w:jc w:val="both"/>
    </w:pPr>
    <w:rPr>
      <w:sz w:val="22"/>
      <w:szCs w:val="22"/>
    </w:rPr>
  </w:style>
  <w:style w:type="character" w:customStyle="1" w:styleId="BodyTextChar">
    <w:name w:val="Body Text Char"/>
    <w:basedOn w:val="DefaultParagraphFont"/>
    <w:link w:val="BodyText"/>
    <w:rsid w:val="00643138"/>
    <w:rPr>
      <w:rFonts w:asciiTheme="minorHAnsi" w:hAnsiTheme="minorHAnsi"/>
      <w:sz w:val="22"/>
      <w:szCs w:val="22"/>
      <w:lang w:eastAsia="en-GB"/>
    </w:rPr>
  </w:style>
  <w:style w:type="paragraph" w:customStyle="1" w:styleId="Introparatext">
    <w:name w:val="Intro para text"/>
    <w:basedOn w:val="BodyText"/>
    <w:next w:val="BodyText"/>
    <w:semiHidden/>
    <w:locked/>
    <w:rsid w:val="00F41174"/>
    <w:pPr>
      <w:spacing w:before="240" w:after="240" w:line="340" w:lineRule="atLeast"/>
      <w:jc w:val="left"/>
    </w:pPr>
    <w:rPr>
      <w:color w:val="808080"/>
      <w:sz w:val="20"/>
    </w:rPr>
  </w:style>
  <w:style w:type="paragraph" w:customStyle="1" w:styleId="TableSource">
    <w:name w:val="Table Source"/>
    <w:basedOn w:val="BodyText"/>
    <w:next w:val="BodyText"/>
    <w:qFormat/>
    <w:locked/>
    <w:rsid w:val="00F90AA7"/>
    <w:pPr>
      <w:spacing w:after="360" w:line="240" w:lineRule="atLeast"/>
      <w:jc w:val="left"/>
    </w:pPr>
    <w:rPr>
      <w:rFonts w:ascii="Tahoma" w:hAnsi="Tahoma" w:cs="Tahoma"/>
      <w:b/>
      <w:color w:val="00B0F0"/>
      <w:sz w:val="16"/>
      <w:szCs w:val="16"/>
    </w:rPr>
  </w:style>
  <w:style w:type="paragraph" w:styleId="Caption">
    <w:name w:val="caption"/>
    <w:basedOn w:val="Normal"/>
    <w:next w:val="Normal"/>
    <w:qFormat/>
    <w:locked/>
    <w:rsid w:val="00F90AA7"/>
    <w:pPr>
      <w:keepNext/>
      <w:spacing w:before="480" w:after="60" w:line="240" w:lineRule="atLeast"/>
    </w:pPr>
    <w:rPr>
      <w:rFonts w:ascii="Tahoma" w:hAnsi="Tahoma" w:cs="Tahoma"/>
      <w:b/>
      <w:bCs/>
      <w:color w:val="43B1FB"/>
      <w:sz w:val="22"/>
      <w:szCs w:val="18"/>
    </w:rPr>
  </w:style>
  <w:style w:type="numbering" w:customStyle="1" w:styleId="NZIERHeadinglist">
    <w:name w:val="NZIER Heading list"/>
    <w:basedOn w:val="NoList"/>
    <w:uiPriority w:val="99"/>
    <w:locked/>
    <w:rsid w:val="00C65C43"/>
    <w:pPr>
      <w:numPr>
        <w:numId w:val="1"/>
      </w:numPr>
    </w:pPr>
  </w:style>
  <w:style w:type="numbering" w:customStyle="1" w:styleId="NZIERBullet1List">
    <w:name w:val="NZIER Bullet 1 List"/>
    <w:basedOn w:val="NZIERHeadinglist"/>
    <w:uiPriority w:val="99"/>
    <w:locked/>
    <w:rsid w:val="00F41174"/>
    <w:pPr>
      <w:numPr>
        <w:numId w:val="2"/>
      </w:numPr>
    </w:pPr>
  </w:style>
  <w:style w:type="paragraph" w:customStyle="1" w:styleId="Bullet">
    <w:name w:val="Bullet"/>
    <w:basedOn w:val="BodyText"/>
    <w:qFormat/>
    <w:locked/>
    <w:rsid w:val="00F41174"/>
    <w:pPr>
      <w:numPr>
        <w:numId w:val="2"/>
      </w:numPr>
      <w:spacing w:before="60" w:after="60"/>
      <w:jc w:val="left"/>
    </w:pPr>
  </w:style>
  <w:style w:type="table" w:styleId="TableClassic1">
    <w:name w:val="Table Classic 1"/>
    <w:basedOn w:val="TableNormal"/>
    <w:locked/>
    <w:rsid w:val="004D7536"/>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NZIERAppendixlist">
    <w:name w:val="NZIER Appendix list"/>
    <w:basedOn w:val="NoList"/>
    <w:uiPriority w:val="99"/>
    <w:locked/>
    <w:rsid w:val="006E0815"/>
    <w:pPr>
      <w:numPr>
        <w:numId w:val="3"/>
      </w:numPr>
    </w:pPr>
  </w:style>
  <w:style w:type="character" w:styleId="PageNumber">
    <w:name w:val="page number"/>
    <w:basedOn w:val="DefaultParagraphFont"/>
    <w:locked/>
    <w:rsid w:val="006313E7"/>
    <w:rPr>
      <w:rFonts w:ascii="Tahoma" w:hAnsi="Tahoma"/>
    </w:rPr>
  </w:style>
  <w:style w:type="paragraph" w:customStyle="1" w:styleId="NonTOCHeading1">
    <w:name w:val="Non TOC Heading 1"/>
    <w:basedOn w:val="Normal"/>
    <w:next w:val="BodyText"/>
    <w:qFormat/>
    <w:locked/>
    <w:rsid w:val="00F9369D"/>
    <w:pPr>
      <w:keepNext/>
      <w:pageBreakBefore/>
      <w:spacing w:after="240" w:line="240" w:lineRule="auto"/>
    </w:pPr>
    <w:rPr>
      <w:rFonts w:ascii="Tahoma" w:hAnsi="Tahoma" w:cs="Tahoma"/>
      <w:color w:val="00B0F0"/>
      <w:sz w:val="44"/>
      <w:szCs w:val="44"/>
    </w:rPr>
  </w:style>
  <w:style w:type="paragraph" w:customStyle="1" w:styleId="NonTOCHeading2">
    <w:name w:val="Non TOC Heading 2"/>
    <w:basedOn w:val="Normal"/>
    <w:next w:val="BodyText"/>
    <w:qFormat/>
    <w:locked/>
    <w:rsid w:val="00F9369D"/>
    <w:pPr>
      <w:keepNext/>
      <w:spacing w:before="360" w:after="80" w:line="240" w:lineRule="auto"/>
    </w:pPr>
    <w:rPr>
      <w:rFonts w:ascii="Tahoma" w:hAnsi="Tahoma"/>
      <w:color w:val="00B0F0"/>
      <w:sz w:val="44"/>
      <w:szCs w:val="44"/>
    </w:rPr>
  </w:style>
  <w:style w:type="paragraph" w:styleId="TOC1">
    <w:name w:val="toc 1"/>
    <w:basedOn w:val="Normal"/>
    <w:next w:val="Normal"/>
    <w:autoRedefine/>
    <w:uiPriority w:val="39"/>
    <w:locked/>
    <w:rsid w:val="0015111F"/>
    <w:pPr>
      <w:tabs>
        <w:tab w:val="right" w:leader="dot" w:pos="7655"/>
      </w:tabs>
      <w:spacing w:after="100" w:line="240" w:lineRule="auto"/>
      <w:ind w:left="851" w:hanging="851"/>
    </w:pPr>
    <w:rPr>
      <w:rFonts w:eastAsiaTheme="minorHAnsi" w:cstheme="minorBidi"/>
      <w:sz w:val="22"/>
      <w:szCs w:val="22"/>
      <w:lang w:eastAsia="en-US"/>
    </w:rPr>
  </w:style>
  <w:style w:type="paragraph" w:styleId="TOC2">
    <w:name w:val="toc 2"/>
    <w:basedOn w:val="Normal"/>
    <w:next w:val="Normal"/>
    <w:uiPriority w:val="39"/>
    <w:locked/>
    <w:rsid w:val="007D5A2B"/>
    <w:pPr>
      <w:tabs>
        <w:tab w:val="left" w:pos="1276"/>
        <w:tab w:val="right" w:leader="dot" w:pos="6804"/>
      </w:tabs>
      <w:spacing w:after="100" w:line="240" w:lineRule="auto"/>
      <w:ind w:left="1276" w:right="567" w:hanging="851"/>
    </w:pPr>
    <w:rPr>
      <w:rFonts w:eastAsiaTheme="minorEastAsia" w:cstheme="minorBidi"/>
      <w:noProof/>
      <w:sz w:val="22"/>
      <w:szCs w:val="22"/>
      <w:lang w:eastAsia="en-NZ"/>
    </w:rPr>
  </w:style>
  <w:style w:type="paragraph" w:styleId="TOC3">
    <w:name w:val="toc 3"/>
    <w:basedOn w:val="Normal"/>
    <w:next w:val="Normal"/>
    <w:autoRedefine/>
    <w:uiPriority w:val="39"/>
    <w:semiHidden/>
    <w:locked/>
    <w:rsid w:val="00541976"/>
    <w:pPr>
      <w:tabs>
        <w:tab w:val="left" w:pos="2268"/>
        <w:tab w:val="right" w:leader="dot" w:pos="6804"/>
      </w:tabs>
      <w:spacing w:before="100" w:line="240" w:lineRule="auto"/>
      <w:ind w:left="1701" w:right="567" w:hanging="567"/>
    </w:pPr>
  </w:style>
  <w:style w:type="paragraph" w:styleId="TOC4">
    <w:name w:val="toc 4"/>
    <w:basedOn w:val="Normal"/>
    <w:next w:val="Normal"/>
    <w:autoRedefine/>
    <w:uiPriority w:val="39"/>
    <w:semiHidden/>
    <w:locked/>
    <w:rsid w:val="00541976"/>
    <w:pPr>
      <w:tabs>
        <w:tab w:val="left" w:pos="2447"/>
        <w:tab w:val="right" w:leader="dot" w:pos="6804"/>
      </w:tabs>
      <w:spacing w:before="100" w:line="240" w:lineRule="auto"/>
      <w:ind w:left="1985" w:right="567" w:hanging="284"/>
    </w:pPr>
  </w:style>
  <w:style w:type="character" w:styleId="Hyperlink">
    <w:name w:val="Hyperlink"/>
    <w:basedOn w:val="DefaultParagraphFont"/>
    <w:uiPriority w:val="99"/>
    <w:unhideWhenUsed/>
    <w:locked/>
    <w:rsid w:val="00E10D08"/>
    <w:rPr>
      <w:color w:val="0000FF" w:themeColor="hyperlink"/>
      <w:u w:val="single"/>
    </w:rPr>
  </w:style>
  <w:style w:type="paragraph" w:customStyle="1" w:styleId="Numberedparagraphs">
    <w:name w:val="Numbered paragraphs"/>
    <w:basedOn w:val="BodyText"/>
    <w:next w:val="Normal"/>
    <w:qFormat/>
    <w:locked/>
    <w:rsid w:val="005E566A"/>
    <w:pPr>
      <w:numPr>
        <w:numId w:val="4"/>
      </w:numPr>
      <w:tabs>
        <w:tab w:val="clear" w:pos="1571"/>
        <w:tab w:val="num" w:pos="851"/>
      </w:tabs>
      <w:spacing w:after="240" w:line="240" w:lineRule="auto"/>
      <w:ind w:left="851" w:hanging="425"/>
      <w:contextualSpacing/>
    </w:pPr>
    <w:rPr>
      <w:rFonts w:ascii="Calibri" w:hAnsi="Calibri"/>
    </w:rPr>
  </w:style>
  <w:style w:type="numbering" w:customStyle="1" w:styleId="NZIERNumberedparagraphsList">
    <w:name w:val="NZIER Numbered paragraphs List"/>
    <w:basedOn w:val="NoList"/>
    <w:uiPriority w:val="99"/>
    <w:locked/>
    <w:rsid w:val="00F719DE"/>
    <w:pPr>
      <w:numPr>
        <w:numId w:val="4"/>
      </w:numPr>
    </w:pPr>
  </w:style>
  <w:style w:type="paragraph" w:customStyle="1" w:styleId="zInstructions">
    <w:name w:val="z_Instructions"/>
    <w:basedOn w:val="BodyText"/>
    <w:semiHidden/>
    <w:locked/>
    <w:rsid w:val="0070085C"/>
    <w:pPr>
      <w:shd w:val="clear" w:color="auto" w:fill="666699"/>
    </w:pPr>
    <w:rPr>
      <w:color w:val="FFFFFF" w:themeColor="background1"/>
    </w:rPr>
  </w:style>
  <w:style w:type="paragraph" w:customStyle="1" w:styleId="zInstructionsbullet">
    <w:name w:val="z_Instructions bullet"/>
    <w:basedOn w:val="zInstructions"/>
    <w:semiHidden/>
    <w:locked/>
    <w:rsid w:val="009C51DA"/>
    <w:pPr>
      <w:numPr>
        <w:numId w:val="5"/>
      </w:numPr>
    </w:pPr>
  </w:style>
  <w:style w:type="numbering" w:customStyle="1" w:styleId="NZIERInstructionsbullet">
    <w:name w:val="NZIER Instructions bullet"/>
    <w:basedOn w:val="NoList"/>
    <w:uiPriority w:val="99"/>
    <w:locked/>
    <w:rsid w:val="009C51DA"/>
    <w:pPr>
      <w:numPr>
        <w:numId w:val="5"/>
      </w:numPr>
    </w:pPr>
  </w:style>
  <w:style w:type="paragraph" w:styleId="Header">
    <w:name w:val="header"/>
    <w:basedOn w:val="Normal"/>
    <w:link w:val="HeaderChar"/>
    <w:semiHidden/>
    <w:locked/>
    <w:rsid w:val="00B22664"/>
    <w:pPr>
      <w:tabs>
        <w:tab w:val="center" w:pos="4513"/>
        <w:tab w:val="right" w:pos="9026"/>
      </w:tabs>
      <w:spacing w:line="240" w:lineRule="auto"/>
    </w:pPr>
  </w:style>
  <w:style w:type="character" w:customStyle="1" w:styleId="HeaderChar">
    <w:name w:val="Header Char"/>
    <w:basedOn w:val="DefaultParagraphFont"/>
    <w:link w:val="Header"/>
    <w:semiHidden/>
    <w:rsid w:val="000934B3"/>
    <w:rPr>
      <w:rFonts w:ascii="Tahoma" w:hAnsi="Tahoma"/>
      <w:sz w:val="17"/>
      <w:lang w:eastAsia="en-GB"/>
    </w:rPr>
  </w:style>
  <w:style w:type="paragraph" w:styleId="Footer">
    <w:name w:val="footer"/>
    <w:basedOn w:val="Normal"/>
    <w:link w:val="FooterChar"/>
    <w:semiHidden/>
    <w:locked/>
    <w:rsid w:val="00315887"/>
    <w:pPr>
      <w:pBdr>
        <w:top w:val="single" w:sz="6" w:space="3" w:color="666680"/>
      </w:pBdr>
      <w:tabs>
        <w:tab w:val="right" w:pos="6804"/>
      </w:tabs>
      <w:spacing w:line="240" w:lineRule="auto"/>
    </w:pPr>
  </w:style>
  <w:style w:type="character" w:customStyle="1" w:styleId="FooterChar">
    <w:name w:val="Footer Char"/>
    <w:basedOn w:val="DefaultParagraphFont"/>
    <w:link w:val="Footer"/>
    <w:semiHidden/>
    <w:rsid w:val="000934B3"/>
    <w:rPr>
      <w:rFonts w:ascii="Tahoma" w:hAnsi="Tahoma"/>
      <w:sz w:val="17"/>
      <w:lang w:eastAsia="en-GB"/>
    </w:rPr>
  </w:style>
  <w:style w:type="paragraph" w:styleId="TOCHeading">
    <w:name w:val="TOC Heading"/>
    <w:basedOn w:val="Heading1"/>
    <w:next w:val="Normal"/>
    <w:uiPriority w:val="39"/>
    <w:semiHidden/>
    <w:locked/>
    <w:rsid w:val="00325C43"/>
    <w:pPr>
      <w:keepLines/>
      <w:pageBreakBefore w:val="0"/>
      <w:spacing w:before="480" w:after="0" w:line="276" w:lineRule="auto"/>
      <w:outlineLvl w:val="9"/>
    </w:pPr>
    <w:rPr>
      <w:rFonts w:asciiTheme="majorHAnsi" w:eastAsiaTheme="majorEastAsia" w:hAnsiTheme="majorHAnsi" w:cstheme="majorBidi"/>
      <w:b/>
      <w:bCs/>
      <w:color w:val="365F91" w:themeColor="accent1" w:themeShade="BF"/>
      <w:sz w:val="28"/>
      <w:szCs w:val="28"/>
      <w:lang w:val="en-US" w:eastAsia="en-US"/>
    </w:rPr>
  </w:style>
  <w:style w:type="paragraph" w:styleId="BalloonText">
    <w:name w:val="Balloon Text"/>
    <w:basedOn w:val="Normal"/>
    <w:link w:val="BalloonTextChar"/>
    <w:semiHidden/>
    <w:locked/>
    <w:rsid w:val="00325C43"/>
    <w:pPr>
      <w:spacing w:line="240" w:lineRule="auto"/>
    </w:pPr>
    <w:rPr>
      <w:rFonts w:cs="Tahoma"/>
      <w:sz w:val="16"/>
      <w:szCs w:val="16"/>
    </w:rPr>
  </w:style>
  <w:style w:type="character" w:customStyle="1" w:styleId="BalloonTextChar">
    <w:name w:val="Balloon Text Char"/>
    <w:basedOn w:val="DefaultParagraphFont"/>
    <w:link w:val="BalloonText"/>
    <w:semiHidden/>
    <w:rsid w:val="00325C43"/>
    <w:rPr>
      <w:rFonts w:ascii="Tahoma" w:hAnsi="Tahoma" w:cs="Tahoma"/>
      <w:sz w:val="16"/>
      <w:szCs w:val="16"/>
      <w:lang w:eastAsia="en-GB"/>
    </w:rPr>
  </w:style>
  <w:style w:type="paragraph" w:styleId="Title">
    <w:name w:val="Title"/>
    <w:basedOn w:val="Normal"/>
    <w:next w:val="Normal"/>
    <w:link w:val="TitleChar"/>
    <w:semiHidden/>
    <w:locked/>
    <w:rsid w:val="00AC5E28"/>
    <w:pPr>
      <w:keepNext/>
      <w:spacing w:before="1134" w:after="240" w:line="240" w:lineRule="auto"/>
    </w:pPr>
    <w:rPr>
      <w:rFonts w:ascii="Myriad Pro" w:hAnsi="Myriad Pro"/>
      <w:sz w:val="52"/>
    </w:rPr>
  </w:style>
  <w:style w:type="character" w:customStyle="1" w:styleId="TitleChar">
    <w:name w:val="Title Char"/>
    <w:basedOn w:val="DefaultParagraphFont"/>
    <w:link w:val="Title"/>
    <w:semiHidden/>
    <w:rsid w:val="000934B3"/>
    <w:rPr>
      <w:rFonts w:ascii="Myriad Pro" w:hAnsi="Myriad Pro"/>
      <w:sz w:val="52"/>
      <w:lang w:eastAsia="en-GB"/>
    </w:rPr>
  </w:style>
  <w:style w:type="paragraph" w:customStyle="1" w:styleId="zReporttitle">
    <w:name w:val="z_Report title"/>
    <w:basedOn w:val="Title"/>
    <w:semiHidden/>
    <w:locked/>
    <w:rsid w:val="00572941"/>
  </w:style>
  <w:style w:type="paragraph" w:customStyle="1" w:styleId="zReportsubtitle">
    <w:name w:val="z_Report sub title"/>
    <w:basedOn w:val="Normal"/>
    <w:semiHidden/>
    <w:locked/>
    <w:rsid w:val="00AC5E28"/>
    <w:pPr>
      <w:spacing w:before="360" w:after="240" w:line="240" w:lineRule="auto"/>
    </w:pPr>
    <w:rPr>
      <w:rFonts w:ascii="Myriad Pro" w:hAnsi="Myriad Pro"/>
      <w:sz w:val="32"/>
    </w:rPr>
  </w:style>
  <w:style w:type="paragraph" w:customStyle="1" w:styleId="zReportdate">
    <w:name w:val="z_Report date"/>
    <w:basedOn w:val="Normal"/>
    <w:semiHidden/>
    <w:locked/>
    <w:rsid w:val="00AC5E28"/>
    <w:pPr>
      <w:spacing w:after="120"/>
    </w:pPr>
    <w:rPr>
      <w:rFonts w:ascii="Myriad Pro" w:hAnsi="Myriad Pro"/>
      <w:color w:val="808080"/>
      <w:sz w:val="24"/>
    </w:rPr>
  </w:style>
  <w:style w:type="paragraph" w:customStyle="1" w:styleId="zDocumenttype">
    <w:name w:val="z_Document type"/>
    <w:basedOn w:val="Normal"/>
    <w:semiHidden/>
    <w:locked/>
    <w:rsid w:val="009E4B0B"/>
    <w:pPr>
      <w:spacing w:before="420"/>
      <w:jc w:val="right"/>
    </w:pPr>
    <w:rPr>
      <w:color w:val="FFFFFF" w:themeColor="background1"/>
    </w:rPr>
  </w:style>
  <w:style w:type="paragraph" w:customStyle="1" w:styleId="Tabletext">
    <w:name w:val="Table text"/>
    <w:basedOn w:val="BodyText"/>
    <w:qFormat/>
    <w:locked/>
    <w:rsid w:val="00F90AA7"/>
    <w:pPr>
      <w:spacing w:before="60" w:after="60" w:line="200" w:lineRule="atLeast"/>
      <w:jc w:val="left"/>
    </w:pPr>
    <w:rPr>
      <w:kern w:val="20"/>
      <w:sz w:val="18"/>
      <w:szCs w:val="18"/>
      <w:lang w:eastAsia="en-US"/>
    </w:rPr>
  </w:style>
  <w:style w:type="paragraph" w:customStyle="1" w:styleId="zWebpage">
    <w:name w:val="z_Web page"/>
    <w:basedOn w:val="BodyText"/>
    <w:semiHidden/>
    <w:locked/>
    <w:rsid w:val="00315887"/>
    <w:pPr>
      <w:spacing w:after="0"/>
    </w:pPr>
    <w:rPr>
      <w:rFonts w:ascii="Myriad Pro" w:hAnsi="Myriad Pro"/>
      <w:b/>
      <w:sz w:val="36"/>
      <w:szCs w:val="36"/>
    </w:rPr>
  </w:style>
  <w:style w:type="paragraph" w:customStyle="1" w:styleId="zAddressdetails">
    <w:name w:val="z_Address details"/>
    <w:basedOn w:val="Normal"/>
    <w:semiHidden/>
    <w:locked/>
    <w:rsid w:val="00315887"/>
    <w:pPr>
      <w:spacing w:after="120" w:line="200" w:lineRule="atLeast"/>
    </w:pPr>
    <w:rPr>
      <w:sz w:val="14"/>
      <w:szCs w:val="14"/>
    </w:rPr>
  </w:style>
  <w:style w:type="paragraph" w:customStyle="1" w:styleId="NonTOCHeading3">
    <w:name w:val="Non TOC Heading 3"/>
    <w:basedOn w:val="Normal"/>
    <w:next w:val="Normal"/>
    <w:qFormat/>
    <w:locked/>
    <w:rsid w:val="00F9369D"/>
    <w:pPr>
      <w:spacing w:before="240" w:after="120" w:line="240" w:lineRule="auto"/>
    </w:pPr>
    <w:rPr>
      <w:rFonts w:ascii="Tahoma" w:hAnsi="Tahoma" w:cs="Tahoma"/>
      <w:color w:val="00B0F0"/>
      <w:sz w:val="22"/>
      <w:szCs w:val="22"/>
    </w:rPr>
  </w:style>
  <w:style w:type="paragraph" w:customStyle="1" w:styleId="zFooterEvenLandscape">
    <w:name w:val="z_Footer Even Landscape"/>
    <w:basedOn w:val="zFooterOddLandscape"/>
    <w:semiHidden/>
    <w:locked/>
    <w:rsid w:val="00C13B05"/>
  </w:style>
  <w:style w:type="paragraph" w:customStyle="1" w:styleId="zFooterEvenPortrait">
    <w:name w:val="z_Footer Even Portrait"/>
    <w:basedOn w:val="zFooterOddPortrait"/>
    <w:semiHidden/>
    <w:locked/>
    <w:rsid w:val="00353D2D"/>
    <w:rPr>
      <w:noProof/>
    </w:rPr>
  </w:style>
  <w:style w:type="paragraph" w:customStyle="1" w:styleId="zFooterOddLandscape">
    <w:name w:val="z_Footer Odd Landscape"/>
    <w:basedOn w:val="zFooterOddPortrait"/>
    <w:semiHidden/>
    <w:locked/>
    <w:rsid w:val="00C13B05"/>
    <w:pPr>
      <w:tabs>
        <w:tab w:val="clear" w:pos="6804"/>
        <w:tab w:val="right" w:pos="14600"/>
      </w:tabs>
    </w:pPr>
  </w:style>
  <w:style w:type="paragraph" w:customStyle="1" w:styleId="zFooterOddPortrait">
    <w:name w:val="z_Footer Odd Portrait"/>
    <w:basedOn w:val="Footer"/>
    <w:semiHidden/>
    <w:locked/>
    <w:rsid w:val="005F2E65"/>
  </w:style>
  <w:style w:type="table" w:styleId="TableGrid">
    <w:name w:val="Table Grid"/>
    <w:basedOn w:val="TableNormal"/>
    <w:locked/>
    <w:rsid w:val="00656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locked/>
    <w:rsid w:val="006E0815"/>
    <w:pPr>
      <w:tabs>
        <w:tab w:val="left" w:pos="284"/>
      </w:tabs>
      <w:spacing w:after="60" w:line="160" w:lineRule="atLeast"/>
      <w:ind w:left="568" w:hanging="284"/>
    </w:pPr>
    <w:rPr>
      <w:sz w:val="14"/>
    </w:rPr>
  </w:style>
  <w:style w:type="character" w:customStyle="1" w:styleId="FootnoteTextChar">
    <w:name w:val="Footnote Text Char"/>
    <w:basedOn w:val="DefaultParagraphFont"/>
    <w:link w:val="FootnoteText"/>
    <w:rsid w:val="00F05DCD"/>
    <w:rPr>
      <w:rFonts w:asciiTheme="minorHAnsi" w:hAnsiTheme="minorHAnsi"/>
      <w:sz w:val="14"/>
      <w:lang w:eastAsia="en-GB"/>
    </w:rPr>
  </w:style>
  <w:style w:type="character" w:styleId="FootnoteReference">
    <w:name w:val="footnote reference"/>
    <w:basedOn w:val="DefaultParagraphFont"/>
    <w:unhideWhenUsed/>
    <w:locked/>
    <w:rsid w:val="00824579"/>
    <w:rPr>
      <w:rFonts w:ascii="Tahoma" w:hAnsi="Tahoma"/>
      <w:sz w:val="16"/>
      <w:vertAlign w:val="superscript"/>
    </w:rPr>
  </w:style>
  <w:style w:type="paragraph" w:customStyle="1" w:styleId="Bullet2ndlevel">
    <w:name w:val="Bullet 2nd level"/>
    <w:basedOn w:val="Bullet"/>
    <w:unhideWhenUsed/>
    <w:locked/>
    <w:rsid w:val="00C16EA5"/>
    <w:pPr>
      <w:numPr>
        <w:ilvl w:val="1"/>
      </w:numPr>
    </w:pPr>
  </w:style>
  <w:style w:type="paragraph" w:customStyle="1" w:styleId="Bullet3rdlevel">
    <w:name w:val="Bullet 3rd level"/>
    <w:basedOn w:val="Bullet"/>
    <w:unhideWhenUsed/>
    <w:locked/>
    <w:rsid w:val="00C16EA5"/>
    <w:pPr>
      <w:numPr>
        <w:ilvl w:val="2"/>
      </w:numPr>
    </w:pPr>
  </w:style>
  <w:style w:type="paragraph" w:customStyle="1" w:styleId="Tablesubheading">
    <w:name w:val="Table subheading"/>
    <w:basedOn w:val="BodyText"/>
    <w:rsid w:val="00F90AA7"/>
    <w:pPr>
      <w:keepNext/>
      <w:spacing w:before="0" w:line="240" w:lineRule="auto"/>
    </w:pPr>
    <w:rPr>
      <w:rFonts w:ascii="Tahoma" w:hAnsi="Tahoma"/>
      <w:sz w:val="17"/>
    </w:rPr>
  </w:style>
  <w:style w:type="paragraph" w:styleId="ListParagraph">
    <w:name w:val="List Paragraph"/>
    <w:basedOn w:val="Normal"/>
    <w:uiPriority w:val="34"/>
    <w:semiHidden/>
    <w:qFormat/>
    <w:locked/>
    <w:rsid w:val="00DA49CC"/>
    <w:pPr>
      <w:ind w:left="720"/>
      <w:contextualSpacing/>
    </w:pPr>
  </w:style>
  <w:style w:type="paragraph" w:customStyle="1" w:styleId="NZIERTitle">
    <w:name w:val="NZIER Title"/>
    <w:next w:val="Normal"/>
    <w:qFormat/>
    <w:rsid w:val="00220B88"/>
    <w:pPr>
      <w:spacing w:before="1134" w:after="120"/>
    </w:pPr>
    <w:rPr>
      <w:rFonts w:ascii="Tahoma" w:hAnsi="Tahoma" w:cs="Tahoma"/>
      <w:color w:val="00B0F0"/>
      <w:sz w:val="56"/>
      <w:szCs w:val="56"/>
      <w:lang w:eastAsia="en-GB"/>
    </w:rPr>
  </w:style>
  <w:style w:type="paragraph" w:customStyle="1" w:styleId="NZIERSubtitle">
    <w:name w:val="NZIER Subtitle"/>
    <w:next w:val="Normal"/>
    <w:qFormat/>
    <w:rsid w:val="00220B88"/>
    <w:pPr>
      <w:spacing w:before="120" w:after="480"/>
    </w:pPr>
    <w:rPr>
      <w:rFonts w:ascii="Tahoma" w:hAnsi="Tahoma"/>
      <w:sz w:val="32"/>
      <w:lang w:eastAsia="en-GB"/>
    </w:rPr>
  </w:style>
  <w:style w:type="paragraph" w:customStyle="1" w:styleId="Tableheading">
    <w:name w:val="Table heading"/>
    <w:basedOn w:val="Normal"/>
    <w:next w:val="Tabletext"/>
    <w:qFormat/>
    <w:rsid w:val="005E566A"/>
    <w:pPr>
      <w:keepNext/>
      <w:spacing w:before="120" w:after="120"/>
    </w:pPr>
    <w:rPr>
      <w:rFonts w:ascii="Tahoma" w:hAnsi="Tahoma"/>
      <w:b/>
      <w:color w:val="FFFFFF" w:themeColor="background1"/>
      <w:sz w:val="17"/>
    </w:rPr>
  </w:style>
  <w:style w:type="paragraph" w:customStyle="1" w:styleId="NonTOCHeading24pt">
    <w:name w:val="Non TOC Heading 24pt"/>
    <w:basedOn w:val="NonTOCHeading1"/>
    <w:qFormat/>
    <w:rsid w:val="00F9369D"/>
    <w:rPr>
      <w:sz w:val="48"/>
    </w:rPr>
  </w:style>
  <w:style w:type="table" w:customStyle="1" w:styleId="NZIERTable">
    <w:name w:val="NZIER Table"/>
    <w:basedOn w:val="TableNormal"/>
    <w:uiPriority w:val="99"/>
    <w:rsid w:val="004D7536"/>
    <w:pPr>
      <w:spacing w:before="60" w:after="60"/>
    </w:pPr>
    <w:rPr>
      <w:rFonts w:ascii="Calibri" w:hAnsi="Calibri"/>
      <w:sz w:val="18"/>
    </w:rPr>
    <w:tblP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blStylePr w:type="firstRow">
      <w:rPr>
        <w:rFonts w:ascii="Calibri" w:hAnsi="Calibri"/>
        <w:color w:val="FFFFFF" w:themeColor="background1"/>
        <w:sz w:val="18"/>
      </w:rPr>
      <w:tblPr/>
      <w:tcPr>
        <w:shd w:val="clear" w:color="auto" w:fill="00B0F0"/>
      </w:tcPr>
    </w:tblStylePr>
  </w:style>
  <w:style w:type="paragraph" w:customStyle="1" w:styleId="Appendixheading1">
    <w:name w:val="Appendix heading 1"/>
    <w:basedOn w:val="Normal"/>
    <w:next w:val="BodyText"/>
    <w:qFormat/>
    <w:locked/>
    <w:rsid w:val="00C000D7"/>
    <w:pPr>
      <w:keepNext/>
      <w:pageBreakBefore/>
      <w:numPr>
        <w:numId w:val="6"/>
      </w:numPr>
      <w:spacing w:before="240" w:after="120" w:line="240" w:lineRule="auto"/>
      <w:outlineLvl w:val="0"/>
    </w:pPr>
    <w:rPr>
      <w:rFonts w:ascii="Tahoma" w:hAnsi="Tahoma"/>
      <w:color w:val="00B0F0"/>
      <w:sz w:val="56"/>
    </w:rPr>
  </w:style>
  <w:style w:type="paragraph" w:customStyle="1" w:styleId="Appendixheading2">
    <w:name w:val="Appendix heading 2"/>
    <w:basedOn w:val="Normal"/>
    <w:next w:val="BodyText"/>
    <w:qFormat/>
    <w:locked/>
    <w:rsid w:val="00C000D7"/>
    <w:pPr>
      <w:keepNext/>
      <w:numPr>
        <w:ilvl w:val="1"/>
        <w:numId w:val="6"/>
      </w:numPr>
      <w:spacing w:before="360" w:after="80" w:line="240" w:lineRule="auto"/>
    </w:pPr>
    <w:rPr>
      <w:rFonts w:ascii="Tahoma" w:hAnsi="Tahoma"/>
      <w:color w:val="00B0F0"/>
      <w:sz w:val="28"/>
    </w:rPr>
  </w:style>
  <w:style w:type="paragraph" w:customStyle="1" w:styleId="Appendixheading3">
    <w:name w:val="Appendix heading 3"/>
    <w:basedOn w:val="Normal"/>
    <w:next w:val="BodyText"/>
    <w:qFormat/>
    <w:locked/>
    <w:rsid w:val="00C000D7"/>
    <w:pPr>
      <w:numPr>
        <w:ilvl w:val="2"/>
        <w:numId w:val="6"/>
      </w:numPr>
      <w:spacing w:before="240" w:after="120" w:line="240" w:lineRule="auto"/>
    </w:pPr>
    <w:rPr>
      <w:rFonts w:ascii="Tahoma" w:hAnsi="Tahoma"/>
      <w:color w:val="00B0F0"/>
      <w:sz w:val="24"/>
    </w:rPr>
  </w:style>
  <w:style w:type="paragraph" w:customStyle="1" w:styleId="UnnumberedHeading1">
    <w:name w:val="Unnumbered Heading 1"/>
    <w:basedOn w:val="Normal"/>
    <w:next w:val="BodyText"/>
    <w:qFormat/>
    <w:locked/>
    <w:rsid w:val="005B08BF"/>
    <w:pPr>
      <w:keepNext/>
      <w:pageBreakBefore/>
      <w:spacing w:after="120" w:line="240" w:lineRule="auto"/>
    </w:pPr>
    <w:rPr>
      <w:rFonts w:ascii="Tahoma" w:hAnsi="Tahoma"/>
      <w:color w:val="00B0F0"/>
      <w:sz w:val="56"/>
    </w:rPr>
  </w:style>
  <w:style w:type="paragraph" w:customStyle="1" w:styleId="UnnumberedHeading2">
    <w:name w:val="Unnumbered Heading 2"/>
    <w:basedOn w:val="Normal"/>
    <w:next w:val="BodyText"/>
    <w:qFormat/>
    <w:locked/>
    <w:rsid w:val="00741954"/>
    <w:pPr>
      <w:keepNext/>
      <w:spacing w:before="360" w:after="80" w:line="240" w:lineRule="auto"/>
    </w:pPr>
    <w:rPr>
      <w:rFonts w:ascii="Tahoma" w:hAnsi="Tahoma"/>
      <w:color w:val="00B0F0"/>
      <w:sz w:val="28"/>
    </w:rPr>
  </w:style>
  <w:style w:type="paragraph" w:customStyle="1" w:styleId="UnnumberedHeading3">
    <w:name w:val="Unnumbered Heading 3"/>
    <w:basedOn w:val="Normal"/>
    <w:next w:val="BodyText"/>
    <w:qFormat/>
    <w:locked/>
    <w:rsid w:val="00741954"/>
    <w:pPr>
      <w:keepNext/>
      <w:spacing w:before="240" w:after="120" w:line="240" w:lineRule="auto"/>
    </w:pPr>
    <w:rPr>
      <w:rFonts w:ascii="Tahoma" w:hAnsi="Tahoma"/>
      <w:color w:val="00B0F0"/>
      <w:sz w:val="24"/>
    </w:rPr>
  </w:style>
  <w:style w:type="paragraph" w:customStyle="1" w:styleId="UnnumberedHeading4">
    <w:name w:val="Unnumbered Heading 4"/>
    <w:basedOn w:val="Normal"/>
    <w:next w:val="BodyText"/>
    <w:qFormat/>
    <w:locked/>
    <w:rsid w:val="00741954"/>
    <w:pPr>
      <w:keepNext/>
      <w:spacing w:before="240" w:after="120" w:line="240" w:lineRule="auto"/>
    </w:pPr>
    <w:rPr>
      <w:rFonts w:ascii="Tahoma" w:hAnsi="Tahoma"/>
      <w:color w:val="00B0F0"/>
      <w:sz w:val="22"/>
    </w:rPr>
  </w:style>
  <w:style w:type="paragraph" w:styleId="TableofFigures">
    <w:name w:val="table of figures"/>
    <w:basedOn w:val="Normal"/>
    <w:next w:val="Normal"/>
    <w:uiPriority w:val="99"/>
    <w:locked/>
    <w:rsid w:val="00C94CAF"/>
  </w:style>
  <w:style w:type="character" w:styleId="CommentReference">
    <w:name w:val="annotation reference"/>
    <w:basedOn w:val="DefaultParagraphFont"/>
    <w:semiHidden/>
    <w:locked/>
    <w:rsid w:val="00221175"/>
    <w:rPr>
      <w:sz w:val="16"/>
      <w:szCs w:val="16"/>
    </w:rPr>
  </w:style>
  <w:style w:type="paragraph" w:styleId="CommentText">
    <w:name w:val="annotation text"/>
    <w:basedOn w:val="Normal"/>
    <w:link w:val="CommentTextChar"/>
    <w:semiHidden/>
    <w:locked/>
    <w:rsid w:val="00221175"/>
    <w:pPr>
      <w:spacing w:line="240" w:lineRule="auto"/>
    </w:pPr>
  </w:style>
  <w:style w:type="character" w:customStyle="1" w:styleId="CommentTextChar">
    <w:name w:val="Comment Text Char"/>
    <w:basedOn w:val="DefaultParagraphFont"/>
    <w:link w:val="CommentText"/>
    <w:semiHidden/>
    <w:rsid w:val="00221175"/>
    <w:rPr>
      <w:rFonts w:asciiTheme="minorHAnsi" w:hAnsiTheme="minorHAnsi"/>
      <w:lang w:eastAsia="en-GB"/>
    </w:rPr>
  </w:style>
  <w:style w:type="paragraph" w:styleId="CommentSubject">
    <w:name w:val="annotation subject"/>
    <w:basedOn w:val="CommentText"/>
    <w:next w:val="CommentText"/>
    <w:link w:val="CommentSubjectChar"/>
    <w:semiHidden/>
    <w:locked/>
    <w:rsid w:val="00221175"/>
    <w:rPr>
      <w:b/>
      <w:bCs/>
    </w:rPr>
  </w:style>
  <w:style w:type="character" w:customStyle="1" w:styleId="CommentSubjectChar">
    <w:name w:val="Comment Subject Char"/>
    <w:basedOn w:val="CommentTextChar"/>
    <w:link w:val="CommentSubject"/>
    <w:semiHidden/>
    <w:rsid w:val="00221175"/>
    <w:rPr>
      <w:rFonts w:asciiTheme="minorHAnsi" w:hAnsiTheme="minorHAnsi"/>
      <w:b/>
      <w:bCs/>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1" w:defUIPriority="0" w:defSemiHidden="0" w:defUnhideWhenUsed="0" w:defQFormat="0" w:count="267">
    <w:lsdException w:name="Normal" w:locked="0" w:qFormat="1"/>
    <w:lsdException w:name="heading 1" w:qFormat="1"/>
    <w:lsdException w:name="heading 2" w:qFormat="1"/>
    <w:lsdException w:name="heading 3" w:qFormat="1"/>
    <w:lsdException w:name="heading 4" w:qFormat="1"/>
    <w:lsdException w:name="heading 6" w:qFormat="1"/>
    <w:lsdException w:name="heading 7" w:qFormat="1"/>
    <w:lsdException w:name="heading 8"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toc 9" w:semiHidden="1"/>
    <w:lsdException w:name="Normal Indent" w:semiHidden="1"/>
    <w:lsdException w:name="annotation text" w:semiHidden="1"/>
    <w:lsdException w:name="index heading" w:semiHidden="1"/>
    <w:lsdException w:name="caption" w:qFormat="1"/>
    <w:lsdException w:name="table of figures" w:semiHidden="1" w:uiPriority="99"/>
    <w:lsdException w:name="envelope address" w:semiHidden="1"/>
    <w:lsdException w:name="envelope return" w:semiHidden="1"/>
    <w:lsdException w:name="annotation reference" w:semiHidden="1"/>
    <w:lsdException w:name="lin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Closing" w:semiHidden="1"/>
    <w:lsdException w:name="Signature" w:semiHidden="1"/>
    <w:lsdException w:name="Default Paragraph Font" w:locked="0"/>
    <w:lsdException w:name="Body Text" w:qFormat="1"/>
    <w:lsdException w:name="Body Text Indent" w:semiHidden="1" w:unhideWhenUsed="1"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locked="0"/>
    <w:lsdException w:name="HTML Bottom of Form" w:locked="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locked="0"/>
    <w:lsdException w:name="annotation subject" w:semiHidden="1"/>
    <w:lsdException w:name="No List" w:locked="0"/>
    <w:lsdException w:name="Balloon Text" w:semiHidden="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latentStyles>
  <w:style w:type="paragraph" w:default="1" w:styleId="Normal">
    <w:name w:val="Normal"/>
    <w:qFormat/>
    <w:rsid w:val="005E566A"/>
    <w:pPr>
      <w:spacing w:line="260" w:lineRule="atLeast"/>
    </w:pPr>
    <w:rPr>
      <w:rFonts w:asciiTheme="minorHAnsi" w:hAnsiTheme="minorHAnsi"/>
      <w:lang w:eastAsia="en-GB"/>
    </w:rPr>
  </w:style>
  <w:style w:type="paragraph" w:styleId="Heading1">
    <w:name w:val="heading 1"/>
    <w:basedOn w:val="Normal"/>
    <w:next w:val="BodyText"/>
    <w:qFormat/>
    <w:locked/>
    <w:rsid w:val="001E584D"/>
    <w:pPr>
      <w:keepNext/>
      <w:pageBreakBefore/>
      <w:numPr>
        <w:numId w:val="7"/>
      </w:numPr>
      <w:spacing w:after="240" w:line="240" w:lineRule="auto"/>
      <w:outlineLvl w:val="0"/>
    </w:pPr>
    <w:rPr>
      <w:rFonts w:ascii="Tahoma" w:hAnsi="Tahoma" w:cs="Tahoma"/>
      <w:color w:val="00B0F0"/>
      <w:sz w:val="52"/>
      <w:szCs w:val="52"/>
    </w:rPr>
  </w:style>
  <w:style w:type="paragraph" w:styleId="Heading2">
    <w:name w:val="heading 2"/>
    <w:basedOn w:val="Normal"/>
    <w:next w:val="BodyText"/>
    <w:qFormat/>
    <w:locked/>
    <w:rsid w:val="00C62D81"/>
    <w:pPr>
      <w:keepNext/>
      <w:numPr>
        <w:ilvl w:val="1"/>
        <w:numId w:val="7"/>
      </w:numPr>
      <w:spacing w:before="360" w:after="80" w:line="240" w:lineRule="auto"/>
      <w:outlineLvl w:val="1"/>
    </w:pPr>
    <w:rPr>
      <w:rFonts w:ascii="Tahoma" w:hAnsi="Tahoma" w:cs="Tahoma"/>
      <w:color w:val="00B0F0"/>
      <w:sz w:val="36"/>
      <w:szCs w:val="36"/>
    </w:rPr>
  </w:style>
  <w:style w:type="paragraph" w:styleId="Heading3">
    <w:name w:val="heading 3"/>
    <w:basedOn w:val="Normal"/>
    <w:next w:val="BodyText"/>
    <w:qFormat/>
    <w:locked/>
    <w:rsid w:val="004D7536"/>
    <w:pPr>
      <w:keepNext/>
      <w:numPr>
        <w:ilvl w:val="2"/>
        <w:numId w:val="7"/>
      </w:numPr>
      <w:spacing w:before="360" w:after="120" w:line="240" w:lineRule="auto"/>
      <w:outlineLvl w:val="2"/>
    </w:pPr>
    <w:rPr>
      <w:rFonts w:ascii="Tahoma" w:hAnsi="Tahoma" w:cs="Tahoma"/>
      <w:color w:val="43B1FB"/>
      <w:sz w:val="32"/>
      <w:szCs w:val="32"/>
    </w:rPr>
  </w:style>
  <w:style w:type="paragraph" w:styleId="Heading4">
    <w:name w:val="heading 4"/>
    <w:basedOn w:val="Normal"/>
    <w:next w:val="BodyText"/>
    <w:qFormat/>
    <w:locked/>
    <w:rsid w:val="004D7536"/>
    <w:pPr>
      <w:keepNext/>
      <w:spacing w:before="240" w:after="120" w:line="240" w:lineRule="auto"/>
      <w:outlineLvl w:val="3"/>
    </w:pPr>
    <w:rPr>
      <w:rFonts w:ascii="Tahoma" w:hAnsi="Tahoma" w:cs="Tahoma"/>
      <w:color w:val="43B1FB"/>
      <w:sz w:val="28"/>
      <w:szCs w:val="28"/>
    </w:rPr>
  </w:style>
  <w:style w:type="paragraph" w:styleId="Heading5">
    <w:name w:val="heading 5"/>
    <w:basedOn w:val="Normal"/>
    <w:next w:val="BodyText"/>
    <w:locked/>
    <w:rsid w:val="005E566A"/>
    <w:pPr>
      <w:keepNext/>
      <w:spacing w:before="240" w:after="120" w:line="240" w:lineRule="auto"/>
      <w:outlineLvl w:val="4"/>
    </w:pPr>
    <w:rPr>
      <w:rFonts w:ascii="Tahoma" w:hAnsi="Tahoma"/>
      <w:color w:val="00B0F0"/>
      <w:sz w:val="24"/>
    </w:rPr>
  </w:style>
  <w:style w:type="paragraph" w:styleId="Heading6">
    <w:name w:val="heading 6"/>
    <w:basedOn w:val="Normal"/>
    <w:next w:val="Heading7"/>
    <w:semiHidden/>
    <w:qFormat/>
    <w:locked/>
    <w:rsid w:val="00313FB6"/>
    <w:pPr>
      <w:outlineLvl w:val="5"/>
    </w:pPr>
  </w:style>
  <w:style w:type="paragraph" w:styleId="Heading7">
    <w:name w:val="heading 7"/>
    <w:basedOn w:val="Normal"/>
    <w:next w:val="BodyText"/>
    <w:semiHidden/>
    <w:qFormat/>
    <w:locked/>
    <w:rsid w:val="00313FB6"/>
    <w:pPr>
      <w:outlineLvl w:val="6"/>
    </w:pPr>
  </w:style>
  <w:style w:type="paragraph" w:styleId="Heading8">
    <w:name w:val="heading 8"/>
    <w:basedOn w:val="Normal"/>
    <w:next w:val="BodyText"/>
    <w:semiHidden/>
    <w:qFormat/>
    <w:locked/>
    <w:rsid w:val="00313FB6"/>
    <w:pPr>
      <w:outlineLvl w:val="7"/>
    </w:pPr>
  </w:style>
  <w:style w:type="paragraph" w:styleId="Heading9">
    <w:name w:val="heading 9"/>
    <w:basedOn w:val="Normal"/>
    <w:next w:val="BodyText"/>
    <w:semiHidden/>
    <w:locked/>
    <w:rsid w:val="00313FB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otation">
    <w:name w:val="Quotation"/>
    <w:basedOn w:val="BodyText"/>
    <w:unhideWhenUsed/>
    <w:locked/>
    <w:rsid w:val="001F0C30"/>
    <w:pPr>
      <w:ind w:left="851" w:right="851"/>
    </w:pPr>
    <w:rPr>
      <w:i/>
    </w:rPr>
  </w:style>
  <w:style w:type="paragraph" w:styleId="BodyText">
    <w:name w:val="Body Text"/>
    <w:basedOn w:val="Normal"/>
    <w:link w:val="BodyTextChar"/>
    <w:qFormat/>
    <w:locked/>
    <w:rsid w:val="00643138"/>
    <w:pPr>
      <w:spacing w:before="120" w:after="120"/>
      <w:jc w:val="both"/>
    </w:pPr>
    <w:rPr>
      <w:sz w:val="22"/>
      <w:szCs w:val="22"/>
    </w:rPr>
  </w:style>
  <w:style w:type="character" w:customStyle="1" w:styleId="BodyTextChar">
    <w:name w:val="Body Text Char"/>
    <w:basedOn w:val="DefaultParagraphFont"/>
    <w:link w:val="BodyText"/>
    <w:rsid w:val="00643138"/>
    <w:rPr>
      <w:rFonts w:asciiTheme="minorHAnsi" w:hAnsiTheme="minorHAnsi"/>
      <w:sz w:val="22"/>
      <w:szCs w:val="22"/>
      <w:lang w:eastAsia="en-GB"/>
    </w:rPr>
  </w:style>
  <w:style w:type="paragraph" w:customStyle="1" w:styleId="Introparatext">
    <w:name w:val="Intro para text"/>
    <w:basedOn w:val="BodyText"/>
    <w:next w:val="BodyText"/>
    <w:semiHidden/>
    <w:locked/>
    <w:rsid w:val="00F41174"/>
    <w:pPr>
      <w:spacing w:before="240" w:after="240" w:line="340" w:lineRule="atLeast"/>
      <w:jc w:val="left"/>
    </w:pPr>
    <w:rPr>
      <w:color w:val="808080"/>
      <w:sz w:val="20"/>
    </w:rPr>
  </w:style>
  <w:style w:type="paragraph" w:customStyle="1" w:styleId="TableSource">
    <w:name w:val="Table Source"/>
    <w:basedOn w:val="BodyText"/>
    <w:next w:val="BodyText"/>
    <w:qFormat/>
    <w:locked/>
    <w:rsid w:val="00F90AA7"/>
    <w:pPr>
      <w:spacing w:after="360" w:line="240" w:lineRule="atLeast"/>
      <w:jc w:val="left"/>
    </w:pPr>
    <w:rPr>
      <w:rFonts w:ascii="Tahoma" w:hAnsi="Tahoma" w:cs="Tahoma"/>
      <w:b/>
      <w:color w:val="00B0F0"/>
      <w:sz w:val="16"/>
      <w:szCs w:val="16"/>
    </w:rPr>
  </w:style>
  <w:style w:type="paragraph" w:styleId="Caption">
    <w:name w:val="caption"/>
    <w:basedOn w:val="Normal"/>
    <w:next w:val="Normal"/>
    <w:qFormat/>
    <w:locked/>
    <w:rsid w:val="00F90AA7"/>
    <w:pPr>
      <w:keepNext/>
      <w:spacing w:before="480" w:after="60" w:line="240" w:lineRule="atLeast"/>
    </w:pPr>
    <w:rPr>
      <w:rFonts w:ascii="Tahoma" w:hAnsi="Tahoma" w:cs="Tahoma"/>
      <w:b/>
      <w:bCs/>
      <w:color w:val="43B1FB"/>
      <w:sz w:val="22"/>
      <w:szCs w:val="18"/>
    </w:rPr>
  </w:style>
  <w:style w:type="numbering" w:customStyle="1" w:styleId="NZIERHeadinglist">
    <w:name w:val="NZIER Heading list"/>
    <w:basedOn w:val="NoList"/>
    <w:uiPriority w:val="99"/>
    <w:locked/>
    <w:rsid w:val="00C65C43"/>
    <w:pPr>
      <w:numPr>
        <w:numId w:val="1"/>
      </w:numPr>
    </w:pPr>
  </w:style>
  <w:style w:type="numbering" w:customStyle="1" w:styleId="NZIERBullet1List">
    <w:name w:val="NZIER Bullet 1 List"/>
    <w:basedOn w:val="NZIERHeadinglist"/>
    <w:uiPriority w:val="99"/>
    <w:locked/>
    <w:rsid w:val="00F41174"/>
    <w:pPr>
      <w:numPr>
        <w:numId w:val="2"/>
      </w:numPr>
    </w:pPr>
  </w:style>
  <w:style w:type="paragraph" w:customStyle="1" w:styleId="Bullet">
    <w:name w:val="Bullet"/>
    <w:basedOn w:val="BodyText"/>
    <w:qFormat/>
    <w:locked/>
    <w:rsid w:val="00F41174"/>
    <w:pPr>
      <w:numPr>
        <w:numId w:val="2"/>
      </w:numPr>
      <w:spacing w:before="60" w:after="60"/>
      <w:jc w:val="left"/>
    </w:pPr>
  </w:style>
  <w:style w:type="table" w:styleId="TableClassic1">
    <w:name w:val="Table Classic 1"/>
    <w:basedOn w:val="TableNormal"/>
    <w:locked/>
    <w:rsid w:val="004D7536"/>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NZIERAppendixlist">
    <w:name w:val="NZIER Appendix list"/>
    <w:basedOn w:val="NoList"/>
    <w:uiPriority w:val="99"/>
    <w:locked/>
    <w:rsid w:val="006E0815"/>
    <w:pPr>
      <w:numPr>
        <w:numId w:val="3"/>
      </w:numPr>
    </w:pPr>
  </w:style>
  <w:style w:type="character" w:styleId="PageNumber">
    <w:name w:val="page number"/>
    <w:basedOn w:val="DefaultParagraphFont"/>
    <w:locked/>
    <w:rsid w:val="006313E7"/>
    <w:rPr>
      <w:rFonts w:ascii="Tahoma" w:hAnsi="Tahoma"/>
    </w:rPr>
  </w:style>
  <w:style w:type="paragraph" w:customStyle="1" w:styleId="NonTOCHeading1">
    <w:name w:val="Non TOC Heading 1"/>
    <w:basedOn w:val="Normal"/>
    <w:next w:val="BodyText"/>
    <w:qFormat/>
    <w:locked/>
    <w:rsid w:val="00F9369D"/>
    <w:pPr>
      <w:keepNext/>
      <w:pageBreakBefore/>
      <w:spacing w:after="240" w:line="240" w:lineRule="auto"/>
    </w:pPr>
    <w:rPr>
      <w:rFonts w:ascii="Tahoma" w:hAnsi="Tahoma" w:cs="Tahoma"/>
      <w:color w:val="00B0F0"/>
      <w:sz w:val="44"/>
      <w:szCs w:val="44"/>
    </w:rPr>
  </w:style>
  <w:style w:type="paragraph" w:customStyle="1" w:styleId="NonTOCHeading2">
    <w:name w:val="Non TOC Heading 2"/>
    <w:basedOn w:val="Normal"/>
    <w:next w:val="BodyText"/>
    <w:qFormat/>
    <w:locked/>
    <w:rsid w:val="00F9369D"/>
    <w:pPr>
      <w:keepNext/>
      <w:spacing w:before="360" w:after="80" w:line="240" w:lineRule="auto"/>
    </w:pPr>
    <w:rPr>
      <w:rFonts w:ascii="Tahoma" w:hAnsi="Tahoma"/>
      <w:color w:val="00B0F0"/>
      <w:sz w:val="44"/>
      <w:szCs w:val="44"/>
    </w:rPr>
  </w:style>
  <w:style w:type="paragraph" w:styleId="TOC1">
    <w:name w:val="toc 1"/>
    <w:basedOn w:val="Normal"/>
    <w:next w:val="Normal"/>
    <w:autoRedefine/>
    <w:uiPriority w:val="39"/>
    <w:locked/>
    <w:rsid w:val="0015111F"/>
    <w:pPr>
      <w:tabs>
        <w:tab w:val="right" w:leader="dot" w:pos="7655"/>
      </w:tabs>
      <w:spacing w:after="100" w:line="240" w:lineRule="auto"/>
      <w:ind w:left="851" w:hanging="851"/>
    </w:pPr>
    <w:rPr>
      <w:rFonts w:eastAsiaTheme="minorHAnsi" w:cstheme="minorBidi"/>
      <w:sz w:val="22"/>
      <w:szCs w:val="22"/>
      <w:lang w:eastAsia="en-US"/>
    </w:rPr>
  </w:style>
  <w:style w:type="paragraph" w:styleId="TOC2">
    <w:name w:val="toc 2"/>
    <w:basedOn w:val="Normal"/>
    <w:next w:val="Normal"/>
    <w:uiPriority w:val="39"/>
    <w:locked/>
    <w:rsid w:val="007D5A2B"/>
    <w:pPr>
      <w:tabs>
        <w:tab w:val="left" w:pos="1276"/>
        <w:tab w:val="right" w:leader="dot" w:pos="6804"/>
      </w:tabs>
      <w:spacing w:after="100" w:line="240" w:lineRule="auto"/>
      <w:ind w:left="1276" w:right="567" w:hanging="851"/>
    </w:pPr>
    <w:rPr>
      <w:rFonts w:eastAsiaTheme="minorEastAsia" w:cstheme="minorBidi"/>
      <w:noProof/>
      <w:sz w:val="22"/>
      <w:szCs w:val="22"/>
      <w:lang w:eastAsia="en-NZ"/>
    </w:rPr>
  </w:style>
  <w:style w:type="paragraph" w:styleId="TOC3">
    <w:name w:val="toc 3"/>
    <w:basedOn w:val="Normal"/>
    <w:next w:val="Normal"/>
    <w:autoRedefine/>
    <w:uiPriority w:val="39"/>
    <w:semiHidden/>
    <w:locked/>
    <w:rsid w:val="00541976"/>
    <w:pPr>
      <w:tabs>
        <w:tab w:val="left" w:pos="2268"/>
        <w:tab w:val="right" w:leader="dot" w:pos="6804"/>
      </w:tabs>
      <w:spacing w:before="100" w:line="240" w:lineRule="auto"/>
      <w:ind w:left="1701" w:right="567" w:hanging="567"/>
    </w:pPr>
  </w:style>
  <w:style w:type="paragraph" w:styleId="TOC4">
    <w:name w:val="toc 4"/>
    <w:basedOn w:val="Normal"/>
    <w:next w:val="Normal"/>
    <w:autoRedefine/>
    <w:uiPriority w:val="39"/>
    <w:semiHidden/>
    <w:locked/>
    <w:rsid w:val="00541976"/>
    <w:pPr>
      <w:tabs>
        <w:tab w:val="left" w:pos="2447"/>
        <w:tab w:val="right" w:leader="dot" w:pos="6804"/>
      </w:tabs>
      <w:spacing w:before="100" w:line="240" w:lineRule="auto"/>
      <w:ind w:left="1985" w:right="567" w:hanging="284"/>
    </w:pPr>
  </w:style>
  <w:style w:type="character" w:styleId="Hyperlink">
    <w:name w:val="Hyperlink"/>
    <w:basedOn w:val="DefaultParagraphFont"/>
    <w:uiPriority w:val="99"/>
    <w:unhideWhenUsed/>
    <w:locked/>
    <w:rsid w:val="00E10D08"/>
    <w:rPr>
      <w:color w:val="0000FF" w:themeColor="hyperlink"/>
      <w:u w:val="single"/>
    </w:rPr>
  </w:style>
  <w:style w:type="paragraph" w:customStyle="1" w:styleId="Numberedparagraphs">
    <w:name w:val="Numbered paragraphs"/>
    <w:basedOn w:val="BodyText"/>
    <w:next w:val="Normal"/>
    <w:qFormat/>
    <w:locked/>
    <w:rsid w:val="005E566A"/>
    <w:pPr>
      <w:numPr>
        <w:numId w:val="4"/>
      </w:numPr>
      <w:tabs>
        <w:tab w:val="clear" w:pos="1571"/>
        <w:tab w:val="num" w:pos="851"/>
      </w:tabs>
      <w:spacing w:after="240" w:line="240" w:lineRule="auto"/>
      <w:ind w:left="851" w:hanging="425"/>
      <w:contextualSpacing/>
    </w:pPr>
    <w:rPr>
      <w:rFonts w:ascii="Calibri" w:hAnsi="Calibri"/>
    </w:rPr>
  </w:style>
  <w:style w:type="numbering" w:customStyle="1" w:styleId="NZIERNumberedparagraphsList">
    <w:name w:val="NZIER Numbered paragraphs List"/>
    <w:basedOn w:val="NoList"/>
    <w:uiPriority w:val="99"/>
    <w:locked/>
    <w:rsid w:val="00F719DE"/>
    <w:pPr>
      <w:numPr>
        <w:numId w:val="4"/>
      </w:numPr>
    </w:pPr>
  </w:style>
  <w:style w:type="paragraph" w:customStyle="1" w:styleId="zInstructions">
    <w:name w:val="z_Instructions"/>
    <w:basedOn w:val="BodyText"/>
    <w:semiHidden/>
    <w:locked/>
    <w:rsid w:val="0070085C"/>
    <w:pPr>
      <w:shd w:val="clear" w:color="auto" w:fill="666699"/>
    </w:pPr>
    <w:rPr>
      <w:color w:val="FFFFFF" w:themeColor="background1"/>
    </w:rPr>
  </w:style>
  <w:style w:type="paragraph" w:customStyle="1" w:styleId="zInstructionsbullet">
    <w:name w:val="z_Instructions bullet"/>
    <w:basedOn w:val="zInstructions"/>
    <w:semiHidden/>
    <w:locked/>
    <w:rsid w:val="009C51DA"/>
    <w:pPr>
      <w:numPr>
        <w:numId w:val="5"/>
      </w:numPr>
    </w:pPr>
  </w:style>
  <w:style w:type="numbering" w:customStyle="1" w:styleId="NZIERInstructionsbullet">
    <w:name w:val="NZIER Instructions bullet"/>
    <w:basedOn w:val="NoList"/>
    <w:uiPriority w:val="99"/>
    <w:locked/>
    <w:rsid w:val="009C51DA"/>
    <w:pPr>
      <w:numPr>
        <w:numId w:val="5"/>
      </w:numPr>
    </w:pPr>
  </w:style>
  <w:style w:type="paragraph" w:styleId="Header">
    <w:name w:val="header"/>
    <w:basedOn w:val="Normal"/>
    <w:link w:val="HeaderChar"/>
    <w:semiHidden/>
    <w:locked/>
    <w:rsid w:val="00B22664"/>
    <w:pPr>
      <w:tabs>
        <w:tab w:val="center" w:pos="4513"/>
        <w:tab w:val="right" w:pos="9026"/>
      </w:tabs>
      <w:spacing w:line="240" w:lineRule="auto"/>
    </w:pPr>
  </w:style>
  <w:style w:type="character" w:customStyle="1" w:styleId="HeaderChar">
    <w:name w:val="Header Char"/>
    <w:basedOn w:val="DefaultParagraphFont"/>
    <w:link w:val="Header"/>
    <w:semiHidden/>
    <w:rsid w:val="000934B3"/>
    <w:rPr>
      <w:rFonts w:ascii="Tahoma" w:hAnsi="Tahoma"/>
      <w:sz w:val="17"/>
      <w:lang w:eastAsia="en-GB"/>
    </w:rPr>
  </w:style>
  <w:style w:type="paragraph" w:styleId="Footer">
    <w:name w:val="footer"/>
    <w:basedOn w:val="Normal"/>
    <w:link w:val="FooterChar"/>
    <w:semiHidden/>
    <w:locked/>
    <w:rsid w:val="00315887"/>
    <w:pPr>
      <w:pBdr>
        <w:top w:val="single" w:sz="6" w:space="3" w:color="666680"/>
      </w:pBdr>
      <w:tabs>
        <w:tab w:val="right" w:pos="6804"/>
      </w:tabs>
      <w:spacing w:line="240" w:lineRule="auto"/>
    </w:pPr>
  </w:style>
  <w:style w:type="character" w:customStyle="1" w:styleId="FooterChar">
    <w:name w:val="Footer Char"/>
    <w:basedOn w:val="DefaultParagraphFont"/>
    <w:link w:val="Footer"/>
    <w:semiHidden/>
    <w:rsid w:val="000934B3"/>
    <w:rPr>
      <w:rFonts w:ascii="Tahoma" w:hAnsi="Tahoma"/>
      <w:sz w:val="17"/>
      <w:lang w:eastAsia="en-GB"/>
    </w:rPr>
  </w:style>
  <w:style w:type="paragraph" w:styleId="TOCHeading">
    <w:name w:val="TOC Heading"/>
    <w:basedOn w:val="Heading1"/>
    <w:next w:val="Normal"/>
    <w:uiPriority w:val="39"/>
    <w:semiHidden/>
    <w:locked/>
    <w:rsid w:val="00325C43"/>
    <w:pPr>
      <w:keepLines/>
      <w:pageBreakBefore w:val="0"/>
      <w:spacing w:before="480" w:after="0" w:line="276" w:lineRule="auto"/>
      <w:outlineLvl w:val="9"/>
    </w:pPr>
    <w:rPr>
      <w:rFonts w:asciiTheme="majorHAnsi" w:eastAsiaTheme="majorEastAsia" w:hAnsiTheme="majorHAnsi" w:cstheme="majorBidi"/>
      <w:b/>
      <w:bCs/>
      <w:color w:val="365F91" w:themeColor="accent1" w:themeShade="BF"/>
      <w:sz w:val="28"/>
      <w:szCs w:val="28"/>
      <w:lang w:val="en-US" w:eastAsia="en-US"/>
    </w:rPr>
  </w:style>
  <w:style w:type="paragraph" w:styleId="BalloonText">
    <w:name w:val="Balloon Text"/>
    <w:basedOn w:val="Normal"/>
    <w:link w:val="BalloonTextChar"/>
    <w:semiHidden/>
    <w:locked/>
    <w:rsid w:val="00325C43"/>
    <w:pPr>
      <w:spacing w:line="240" w:lineRule="auto"/>
    </w:pPr>
    <w:rPr>
      <w:rFonts w:cs="Tahoma"/>
      <w:sz w:val="16"/>
      <w:szCs w:val="16"/>
    </w:rPr>
  </w:style>
  <w:style w:type="character" w:customStyle="1" w:styleId="BalloonTextChar">
    <w:name w:val="Balloon Text Char"/>
    <w:basedOn w:val="DefaultParagraphFont"/>
    <w:link w:val="BalloonText"/>
    <w:semiHidden/>
    <w:rsid w:val="00325C43"/>
    <w:rPr>
      <w:rFonts w:ascii="Tahoma" w:hAnsi="Tahoma" w:cs="Tahoma"/>
      <w:sz w:val="16"/>
      <w:szCs w:val="16"/>
      <w:lang w:eastAsia="en-GB"/>
    </w:rPr>
  </w:style>
  <w:style w:type="paragraph" w:styleId="Title">
    <w:name w:val="Title"/>
    <w:basedOn w:val="Normal"/>
    <w:next w:val="Normal"/>
    <w:link w:val="TitleChar"/>
    <w:semiHidden/>
    <w:locked/>
    <w:rsid w:val="00AC5E28"/>
    <w:pPr>
      <w:keepNext/>
      <w:spacing w:before="1134" w:after="240" w:line="240" w:lineRule="auto"/>
    </w:pPr>
    <w:rPr>
      <w:rFonts w:ascii="Myriad Pro" w:hAnsi="Myriad Pro"/>
      <w:sz w:val="52"/>
    </w:rPr>
  </w:style>
  <w:style w:type="character" w:customStyle="1" w:styleId="TitleChar">
    <w:name w:val="Title Char"/>
    <w:basedOn w:val="DefaultParagraphFont"/>
    <w:link w:val="Title"/>
    <w:semiHidden/>
    <w:rsid w:val="000934B3"/>
    <w:rPr>
      <w:rFonts w:ascii="Myriad Pro" w:hAnsi="Myriad Pro"/>
      <w:sz w:val="52"/>
      <w:lang w:eastAsia="en-GB"/>
    </w:rPr>
  </w:style>
  <w:style w:type="paragraph" w:customStyle="1" w:styleId="zReporttitle">
    <w:name w:val="z_Report title"/>
    <w:basedOn w:val="Title"/>
    <w:semiHidden/>
    <w:locked/>
    <w:rsid w:val="00572941"/>
  </w:style>
  <w:style w:type="paragraph" w:customStyle="1" w:styleId="zReportsubtitle">
    <w:name w:val="z_Report sub title"/>
    <w:basedOn w:val="Normal"/>
    <w:semiHidden/>
    <w:locked/>
    <w:rsid w:val="00AC5E28"/>
    <w:pPr>
      <w:spacing w:before="360" w:after="240" w:line="240" w:lineRule="auto"/>
    </w:pPr>
    <w:rPr>
      <w:rFonts w:ascii="Myriad Pro" w:hAnsi="Myriad Pro"/>
      <w:sz w:val="32"/>
    </w:rPr>
  </w:style>
  <w:style w:type="paragraph" w:customStyle="1" w:styleId="zReportdate">
    <w:name w:val="z_Report date"/>
    <w:basedOn w:val="Normal"/>
    <w:semiHidden/>
    <w:locked/>
    <w:rsid w:val="00AC5E28"/>
    <w:pPr>
      <w:spacing w:after="120"/>
    </w:pPr>
    <w:rPr>
      <w:rFonts w:ascii="Myriad Pro" w:hAnsi="Myriad Pro"/>
      <w:color w:val="808080"/>
      <w:sz w:val="24"/>
    </w:rPr>
  </w:style>
  <w:style w:type="paragraph" w:customStyle="1" w:styleId="zDocumenttype">
    <w:name w:val="z_Document type"/>
    <w:basedOn w:val="Normal"/>
    <w:semiHidden/>
    <w:locked/>
    <w:rsid w:val="009E4B0B"/>
    <w:pPr>
      <w:spacing w:before="420"/>
      <w:jc w:val="right"/>
    </w:pPr>
    <w:rPr>
      <w:color w:val="FFFFFF" w:themeColor="background1"/>
    </w:rPr>
  </w:style>
  <w:style w:type="paragraph" w:customStyle="1" w:styleId="Tabletext">
    <w:name w:val="Table text"/>
    <w:basedOn w:val="BodyText"/>
    <w:qFormat/>
    <w:locked/>
    <w:rsid w:val="00F90AA7"/>
    <w:pPr>
      <w:spacing w:before="60" w:after="60" w:line="200" w:lineRule="atLeast"/>
      <w:jc w:val="left"/>
    </w:pPr>
    <w:rPr>
      <w:kern w:val="20"/>
      <w:sz w:val="18"/>
      <w:szCs w:val="18"/>
      <w:lang w:eastAsia="en-US"/>
    </w:rPr>
  </w:style>
  <w:style w:type="paragraph" w:customStyle="1" w:styleId="zWebpage">
    <w:name w:val="z_Web page"/>
    <w:basedOn w:val="BodyText"/>
    <w:semiHidden/>
    <w:locked/>
    <w:rsid w:val="00315887"/>
    <w:pPr>
      <w:spacing w:after="0"/>
    </w:pPr>
    <w:rPr>
      <w:rFonts w:ascii="Myriad Pro" w:hAnsi="Myriad Pro"/>
      <w:b/>
      <w:sz w:val="36"/>
      <w:szCs w:val="36"/>
    </w:rPr>
  </w:style>
  <w:style w:type="paragraph" w:customStyle="1" w:styleId="zAddressdetails">
    <w:name w:val="z_Address details"/>
    <w:basedOn w:val="Normal"/>
    <w:semiHidden/>
    <w:locked/>
    <w:rsid w:val="00315887"/>
    <w:pPr>
      <w:spacing w:after="120" w:line="200" w:lineRule="atLeast"/>
    </w:pPr>
    <w:rPr>
      <w:sz w:val="14"/>
      <w:szCs w:val="14"/>
    </w:rPr>
  </w:style>
  <w:style w:type="paragraph" w:customStyle="1" w:styleId="NonTOCHeading3">
    <w:name w:val="Non TOC Heading 3"/>
    <w:basedOn w:val="Normal"/>
    <w:next w:val="Normal"/>
    <w:qFormat/>
    <w:locked/>
    <w:rsid w:val="00F9369D"/>
    <w:pPr>
      <w:spacing w:before="240" w:after="120" w:line="240" w:lineRule="auto"/>
    </w:pPr>
    <w:rPr>
      <w:rFonts w:ascii="Tahoma" w:hAnsi="Tahoma" w:cs="Tahoma"/>
      <w:color w:val="00B0F0"/>
      <w:sz w:val="22"/>
      <w:szCs w:val="22"/>
    </w:rPr>
  </w:style>
  <w:style w:type="paragraph" w:customStyle="1" w:styleId="zFooterEvenLandscape">
    <w:name w:val="z_Footer Even Landscape"/>
    <w:basedOn w:val="zFooterOddLandscape"/>
    <w:semiHidden/>
    <w:locked/>
    <w:rsid w:val="00C13B05"/>
  </w:style>
  <w:style w:type="paragraph" w:customStyle="1" w:styleId="zFooterEvenPortrait">
    <w:name w:val="z_Footer Even Portrait"/>
    <w:basedOn w:val="zFooterOddPortrait"/>
    <w:semiHidden/>
    <w:locked/>
    <w:rsid w:val="00353D2D"/>
    <w:rPr>
      <w:noProof/>
    </w:rPr>
  </w:style>
  <w:style w:type="paragraph" w:customStyle="1" w:styleId="zFooterOddLandscape">
    <w:name w:val="z_Footer Odd Landscape"/>
    <w:basedOn w:val="zFooterOddPortrait"/>
    <w:semiHidden/>
    <w:locked/>
    <w:rsid w:val="00C13B05"/>
    <w:pPr>
      <w:tabs>
        <w:tab w:val="clear" w:pos="6804"/>
        <w:tab w:val="right" w:pos="14600"/>
      </w:tabs>
    </w:pPr>
  </w:style>
  <w:style w:type="paragraph" w:customStyle="1" w:styleId="zFooterOddPortrait">
    <w:name w:val="z_Footer Odd Portrait"/>
    <w:basedOn w:val="Footer"/>
    <w:semiHidden/>
    <w:locked/>
    <w:rsid w:val="005F2E65"/>
  </w:style>
  <w:style w:type="table" w:styleId="TableGrid">
    <w:name w:val="Table Grid"/>
    <w:basedOn w:val="TableNormal"/>
    <w:locked/>
    <w:rsid w:val="00656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locked/>
    <w:rsid w:val="006E0815"/>
    <w:pPr>
      <w:tabs>
        <w:tab w:val="left" w:pos="284"/>
      </w:tabs>
      <w:spacing w:after="60" w:line="160" w:lineRule="atLeast"/>
      <w:ind w:left="568" w:hanging="284"/>
    </w:pPr>
    <w:rPr>
      <w:sz w:val="14"/>
    </w:rPr>
  </w:style>
  <w:style w:type="character" w:customStyle="1" w:styleId="FootnoteTextChar">
    <w:name w:val="Footnote Text Char"/>
    <w:basedOn w:val="DefaultParagraphFont"/>
    <w:link w:val="FootnoteText"/>
    <w:rsid w:val="00F05DCD"/>
    <w:rPr>
      <w:rFonts w:asciiTheme="minorHAnsi" w:hAnsiTheme="minorHAnsi"/>
      <w:sz w:val="14"/>
      <w:lang w:eastAsia="en-GB"/>
    </w:rPr>
  </w:style>
  <w:style w:type="character" w:styleId="FootnoteReference">
    <w:name w:val="footnote reference"/>
    <w:basedOn w:val="DefaultParagraphFont"/>
    <w:unhideWhenUsed/>
    <w:locked/>
    <w:rsid w:val="00824579"/>
    <w:rPr>
      <w:rFonts w:ascii="Tahoma" w:hAnsi="Tahoma"/>
      <w:sz w:val="16"/>
      <w:vertAlign w:val="superscript"/>
    </w:rPr>
  </w:style>
  <w:style w:type="paragraph" w:customStyle="1" w:styleId="Bullet2ndlevel">
    <w:name w:val="Bullet 2nd level"/>
    <w:basedOn w:val="Bullet"/>
    <w:unhideWhenUsed/>
    <w:locked/>
    <w:rsid w:val="00C16EA5"/>
    <w:pPr>
      <w:numPr>
        <w:ilvl w:val="1"/>
      </w:numPr>
    </w:pPr>
  </w:style>
  <w:style w:type="paragraph" w:customStyle="1" w:styleId="Bullet3rdlevel">
    <w:name w:val="Bullet 3rd level"/>
    <w:basedOn w:val="Bullet"/>
    <w:unhideWhenUsed/>
    <w:locked/>
    <w:rsid w:val="00C16EA5"/>
    <w:pPr>
      <w:numPr>
        <w:ilvl w:val="2"/>
      </w:numPr>
    </w:pPr>
  </w:style>
  <w:style w:type="paragraph" w:customStyle="1" w:styleId="Tablesubheading">
    <w:name w:val="Table subheading"/>
    <w:basedOn w:val="BodyText"/>
    <w:rsid w:val="00F90AA7"/>
    <w:pPr>
      <w:keepNext/>
      <w:spacing w:before="0" w:line="240" w:lineRule="auto"/>
    </w:pPr>
    <w:rPr>
      <w:rFonts w:ascii="Tahoma" w:hAnsi="Tahoma"/>
      <w:sz w:val="17"/>
    </w:rPr>
  </w:style>
  <w:style w:type="paragraph" w:styleId="ListParagraph">
    <w:name w:val="List Paragraph"/>
    <w:basedOn w:val="Normal"/>
    <w:uiPriority w:val="34"/>
    <w:semiHidden/>
    <w:qFormat/>
    <w:locked/>
    <w:rsid w:val="00DA49CC"/>
    <w:pPr>
      <w:ind w:left="720"/>
      <w:contextualSpacing/>
    </w:pPr>
  </w:style>
  <w:style w:type="paragraph" w:customStyle="1" w:styleId="NZIERTitle">
    <w:name w:val="NZIER Title"/>
    <w:next w:val="Normal"/>
    <w:qFormat/>
    <w:rsid w:val="00220B88"/>
    <w:pPr>
      <w:spacing w:before="1134" w:after="120"/>
    </w:pPr>
    <w:rPr>
      <w:rFonts w:ascii="Tahoma" w:hAnsi="Tahoma" w:cs="Tahoma"/>
      <w:color w:val="00B0F0"/>
      <w:sz w:val="56"/>
      <w:szCs w:val="56"/>
      <w:lang w:eastAsia="en-GB"/>
    </w:rPr>
  </w:style>
  <w:style w:type="paragraph" w:customStyle="1" w:styleId="NZIERSubtitle">
    <w:name w:val="NZIER Subtitle"/>
    <w:next w:val="Normal"/>
    <w:qFormat/>
    <w:rsid w:val="00220B88"/>
    <w:pPr>
      <w:spacing w:before="120" w:after="480"/>
    </w:pPr>
    <w:rPr>
      <w:rFonts w:ascii="Tahoma" w:hAnsi="Tahoma"/>
      <w:sz w:val="32"/>
      <w:lang w:eastAsia="en-GB"/>
    </w:rPr>
  </w:style>
  <w:style w:type="paragraph" w:customStyle="1" w:styleId="Tableheading">
    <w:name w:val="Table heading"/>
    <w:basedOn w:val="Normal"/>
    <w:next w:val="Tabletext"/>
    <w:qFormat/>
    <w:rsid w:val="005E566A"/>
    <w:pPr>
      <w:keepNext/>
      <w:spacing w:before="120" w:after="120"/>
    </w:pPr>
    <w:rPr>
      <w:rFonts w:ascii="Tahoma" w:hAnsi="Tahoma"/>
      <w:b/>
      <w:color w:val="FFFFFF" w:themeColor="background1"/>
      <w:sz w:val="17"/>
    </w:rPr>
  </w:style>
  <w:style w:type="paragraph" w:customStyle="1" w:styleId="NonTOCHeading24pt">
    <w:name w:val="Non TOC Heading 24pt"/>
    <w:basedOn w:val="NonTOCHeading1"/>
    <w:qFormat/>
    <w:rsid w:val="00F9369D"/>
    <w:rPr>
      <w:sz w:val="48"/>
    </w:rPr>
  </w:style>
  <w:style w:type="table" w:customStyle="1" w:styleId="NZIERTable">
    <w:name w:val="NZIER Table"/>
    <w:basedOn w:val="TableNormal"/>
    <w:uiPriority w:val="99"/>
    <w:rsid w:val="004D7536"/>
    <w:pPr>
      <w:spacing w:before="60" w:after="60"/>
    </w:pPr>
    <w:rPr>
      <w:rFonts w:ascii="Calibri" w:hAnsi="Calibri"/>
      <w:sz w:val="18"/>
    </w:rPr>
    <w:tblP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blStylePr w:type="firstRow">
      <w:rPr>
        <w:rFonts w:ascii="Calibri" w:hAnsi="Calibri"/>
        <w:color w:val="FFFFFF" w:themeColor="background1"/>
        <w:sz w:val="18"/>
      </w:rPr>
      <w:tblPr/>
      <w:tcPr>
        <w:shd w:val="clear" w:color="auto" w:fill="00B0F0"/>
      </w:tcPr>
    </w:tblStylePr>
  </w:style>
  <w:style w:type="paragraph" w:customStyle="1" w:styleId="Appendixheading1">
    <w:name w:val="Appendix heading 1"/>
    <w:basedOn w:val="Normal"/>
    <w:next w:val="BodyText"/>
    <w:qFormat/>
    <w:locked/>
    <w:rsid w:val="00C000D7"/>
    <w:pPr>
      <w:keepNext/>
      <w:pageBreakBefore/>
      <w:numPr>
        <w:numId w:val="6"/>
      </w:numPr>
      <w:spacing w:before="240" w:after="120" w:line="240" w:lineRule="auto"/>
      <w:outlineLvl w:val="0"/>
    </w:pPr>
    <w:rPr>
      <w:rFonts w:ascii="Tahoma" w:hAnsi="Tahoma"/>
      <w:color w:val="00B0F0"/>
      <w:sz w:val="56"/>
    </w:rPr>
  </w:style>
  <w:style w:type="paragraph" w:customStyle="1" w:styleId="Appendixheading2">
    <w:name w:val="Appendix heading 2"/>
    <w:basedOn w:val="Normal"/>
    <w:next w:val="BodyText"/>
    <w:qFormat/>
    <w:locked/>
    <w:rsid w:val="00C000D7"/>
    <w:pPr>
      <w:keepNext/>
      <w:numPr>
        <w:ilvl w:val="1"/>
        <w:numId w:val="6"/>
      </w:numPr>
      <w:spacing w:before="360" w:after="80" w:line="240" w:lineRule="auto"/>
    </w:pPr>
    <w:rPr>
      <w:rFonts w:ascii="Tahoma" w:hAnsi="Tahoma"/>
      <w:color w:val="00B0F0"/>
      <w:sz w:val="28"/>
    </w:rPr>
  </w:style>
  <w:style w:type="paragraph" w:customStyle="1" w:styleId="Appendixheading3">
    <w:name w:val="Appendix heading 3"/>
    <w:basedOn w:val="Normal"/>
    <w:next w:val="BodyText"/>
    <w:qFormat/>
    <w:locked/>
    <w:rsid w:val="00C000D7"/>
    <w:pPr>
      <w:numPr>
        <w:ilvl w:val="2"/>
        <w:numId w:val="6"/>
      </w:numPr>
      <w:spacing w:before="240" w:after="120" w:line="240" w:lineRule="auto"/>
    </w:pPr>
    <w:rPr>
      <w:rFonts w:ascii="Tahoma" w:hAnsi="Tahoma"/>
      <w:color w:val="00B0F0"/>
      <w:sz w:val="24"/>
    </w:rPr>
  </w:style>
  <w:style w:type="paragraph" w:customStyle="1" w:styleId="UnnumberedHeading1">
    <w:name w:val="Unnumbered Heading 1"/>
    <w:basedOn w:val="Normal"/>
    <w:next w:val="BodyText"/>
    <w:qFormat/>
    <w:locked/>
    <w:rsid w:val="005B08BF"/>
    <w:pPr>
      <w:keepNext/>
      <w:pageBreakBefore/>
      <w:spacing w:after="120" w:line="240" w:lineRule="auto"/>
    </w:pPr>
    <w:rPr>
      <w:rFonts w:ascii="Tahoma" w:hAnsi="Tahoma"/>
      <w:color w:val="00B0F0"/>
      <w:sz w:val="56"/>
    </w:rPr>
  </w:style>
  <w:style w:type="paragraph" w:customStyle="1" w:styleId="UnnumberedHeading2">
    <w:name w:val="Unnumbered Heading 2"/>
    <w:basedOn w:val="Normal"/>
    <w:next w:val="BodyText"/>
    <w:qFormat/>
    <w:locked/>
    <w:rsid w:val="00741954"/>
    <w:pPr>
      <w:keepNext/>
      <w:spacing w:before="360" w:after="80" w:line="240" w:lineRule="auto"/>
    </w:pPr>
    <w:rPr>
      <w:rFonts w:ascii="Tahoma" w:hAnsi="Tahoma"/>
      <w:color w:val="00B0F0"/>
      <w:sz w:val="28"/>
    </w:rPr>
  </w:style>
  <w:style w:type="paragraph" w:customStyle="1" w:styleId="UnnumberedHeading3">
    <w:name w:val="Unnumbered Heading 3"/>
    <w:basedOn w:val="Normal"/>
    <w:next w:val="BodyText"/>
    <w:qFormat/>
    <w:locked/>
    <w:rsid w:val="00741954"/>
    <w:pPr>
      <w:keepNext/>
      <w:spacing w:before="240" w:after="120" w:line="240" w:lineRule="auto"/>
    </w:pPr>
    <w:rPr>
      <w:rFonts w:ascii="Tahoma" w:hAnsi="Tahoma"/>
      <w:color w:val="00B0F0"/>
      <w:sz w:val="24"/>
    </w:rPr>
  </w:style>
  <w:style w:type="paragraph" w:customStyle="1" w:styleId="UnnumberedHeading4">
    <w:name w:val="Unnumbered Heading 4"/>
    <w:basedOn w:val="Normal"/>
    <w:next w:val="BodyText"/>
    <w:qFormat/>
    <w:locked/>
    <w:rsid w:val="00741954"/>
    <w:pPr>
      <w:keepNext/>
      <w:spacing w:before="240" w:after="120" w:line="240" w:lineRule="auto"/>
    </w:pPr>
    <w:rPr>
      <w:rFonts w:ascii="Tahoma" w:hAnsi="Tahoma"/>
      <w:color w:val="00B0F0"/>
      <w:sz w:val="22"/>
    </w:rPr>
  </w:style>
  <w:style w:type="paragraph" w:styleId="TableofFigures">
    <w:name w:val="table of figures"/>
    <w:basedOn w:val="Normal"/>
    <w:next w:val="Normal"/>
    <w:uiPriority w:val="99"/>
    <w:locked/>
    <w:rsid w:val="00C94CAF"/>
  </w:style>
  <w:style w:type="character" w:styleId="CommentReference">
    <w:name w:val="annotation reference"/>
    <w:basedOn w:val="DefaultParagraphFont"/>
    <w:semiHidden/>
    <w:locked/>
    <w:rsid w:val="00221175"/>
    <w:rPr>
      <w:sz w:val="16"/>
      <w:szCs w:val="16"/>
    </w:rPr>
  </w:style>
  <w:style w:type="paragraph" w:styleId="CommentText">
    <w:name w:val="annotation text"/>
    <w:basedOn w:val="Normal"/>
    <w:link w:val="CommentTextChar"/>
    <w:semiHidden/>
    <w:locked/>
    <w:rsid w:val="00221175"/>
    <w:pPr>
      <w:spacing w:line="240" w:lineRule="auto"/>
    </w:pPr>
  </w:style>
  <w:style w:type="character" w:customStyle="1" w:styleId="CommentTextChar">
    <w:name w:val="Comment Text Char"/>
    <w:basedOn w:val="DefaultParagraphFont"/>
    <w:link w:val="CommentText"/>
    <w:semiHidden/>
    <w:rsid w:val="00221175"/>
    <w:rPr>
      <w:rFonts w:asciiTheme="minorHAnsi" w:hAnsiTheme="minorHAnsi"/>
      <w:lang w:eastAsia="en-GB"/>
    </w:rPr>
  </w:style>
  <w:style w:type="paragraph" w:styleId="CommentSubject">
    <w:name w:val="annotation subject"/>
    <w:basedOn w:val="CommentText"/>
    <w:next w:val="CommentText"/>
    <w:link w:val="CommentSubjectChar"/>
    <w:semiHidden/>
    <w:locked/>
    <w:rsid w:val="00221175"/>
    <w:rPr>
      <w:b/>
      <w:bCs/>
    </w:rPr>
  </w:style>
  <w:style w:type="character" w:customStyle="1" w:styleId="CommentSubjectChar">
    <w:name w:val="Comment Subject Char"/>
    <w:basedOn w:val="CommentTextChar"/>
    <w:link w:val="CommentSubject"/>
    <w:semiHidden/>
    <w:rsid w:val="00221175"/>
    <w:rPr>
      <w:rFonts w:asciiTheme="minorHAnsi" w:hAnsiTheme="minorHAnsi"/>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120685">
      <w:bodyDiv w:val="1"/>
      <w:marLeft w:val="0"/>
      <w:marRight w:val="0"/>
      <w:marTop w:val="0"/>
      <w:marBottom w:val="0"/>
      <w:divBdr>
        <w:top w:val="none" w:sz="0" w:space="0" w:color="auto"/>
        <w:left w:val="none" w:sz="0" w:space="0" w:color="auto"/>
        <w:bottom w:val="none" w:sz="0" w:space="0" w:color="auto"/>
        <w:right w:val="none" w:sz="0" w:space="0" w:color="auto"/>
      </w:divBdr>
    </w:div>
    <w:div w:id="82038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s>
</file>

<file path=word/_rels/footer1.xml.rels><?xml version="1.0" encoding="UTF-8" standalone="yes"?>
<Relationships xmlns="http://schemas.openxmlformats.org/package/2006/relationships"><Relationship Id="rId1" Type="http://schemas.openxmlformats.org/officeDocument/2006/relationships/hyperlink" Target="mailto:econ@nzier.org.nz"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econ@nzier.org.nz"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mailto:econ@nzier.org.nz"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X:\8.Library\Templates\NZIER%20REPORT%20TEMPLATES\1%20REPORT%20nzier-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E0369-8322-48AF-BDE4-EC0644B96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REPORT nzier-template</Template>
  <TotalTime>117</TotalTime>
  <Pages>16</Pages>
  <Words>3664</Words>
  <Characters>21066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NZIER</Company>
  <LinksUpToDate>false</LinksUpToDate>
  <CharactersWithSpaces>24681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Hensen</dc:creator>
  <dc:description>Revised 11 December 2012</dc:description>
  <cp:lastModifiedBy>Mike Hensen</cp:lastModifiedBy>
  <cp:revision>10</cp:revision>
  <cp:lastPrinted>2002-04-12T07:33:00Z</cp:lastPrinted>
  <dcterms:created xsi:type="dcterms:W3CDTF">2014-08-28T04:48:00Z</dcterms:created>
  <dcterms:modified xsi:type="dcterms:W3CDTF">2014-09-01T01:34:00Z</dcterms:modified>
</cp:coreProperties>
</file>