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51D" w:rsidRPr="00220B88" w:rsidRDefault="00386909" w:rsidP="00220B88">
      <w:pPr>
        <w:pStyle w:val="NZIERTitle"/>
      </w:pPr>
      <w:r>
        <w:t>Economic development</w:t>
      </w:r>
    </w:p>
    <w:p w:rsidR="006127BB" w:rsidRPr="00220B88" w:rsidRDefault="00386909" w:rsidP="00220B88">
      <w:pPr>
        <w:pStyle w:val="NZIERSubtitle"/>
      </w:pPr>
      <w:r>
        <w:t>Assessment of alternative arrangements through re-organisation of councils in the Wellington region</w:t>
      </w:r>
    </w:p>
    <w:p w:rsidR="0045508B" w:rsidRPr="00643138" w:rsidRDefault="00F743E7" w:rsidP="00AE01EA">
      <w:pPr>
        <w:pStyle w:val="zReportdate"/>
      </w:pPr>
      <w:r w:rsidRPr="00643138">
        <w:t xml:space="preserve">NZIER report to </w:t>
      </w:r>
      <w:r w:rsidR="00386909">
        <w:t>Henley Hutchings</w:t>
      </w:r>
    </w:p>
    <w:p w:rsidR="00CB69C8" w:rsidRPr="00643138" w:rsidRDefault="006769D9" w:rsidP="00AE01EA">
      <w:pPr>
        <w:pStyle w:val="zReportdate"/>
      </w:pPr>
      <w:r>
        <w:t>1 September</w:t>
      </w:r>
      <w:r w:rsidR="00386909">
        <w:t xml:space="preserve"> 2014</w:t>
      </w:r>
    </w:p>
    <w:p w:rsidR="006D2FCA" w:rsidRDefault="006D2FCA" w:rsidP="00AE01EA"/>
    <w:p w:rsidR="00BB6ED0" w:rsidRDefault="00BB6ED0" w:rsidP="00AE01EA">
      <w:pPr>
        <w:sectPr w:rsidR="00BB6ED0" w:rsidSect="00C17D87">
          <w:headerReference w:type="even" r:id="rId9"/>
          <w:headerReference w:type="default" r:id="rId10"/>
          <w:footerReference w:type="even" r:id="rId11"/>
          <w:footerReference w:type="default" r:id="rId12"/>
          <w:headerReference w:type="first" r:id="rId13"/>
          <w:pgSz w:w="11907" w:h="16840" w:code="9"/>
          <w:pgMar w:top="10206" w:right="1701" w:bottom="1134" w:left="2552" w:header="1134" w:footer="567" w:gutter="0"/>
          <w:cols w:space="720"/>
          <w:titlePg/>
        </w:sectPr>
      </w:pPr>
    </w:p>
    <w:p w:rsidR="00CB69C8" w:rsidRPr="00220B88" w:rsidRDefault="00CB69C8" w:rsidP="00AE01EA">
      <w:pPr>
        <w:pStyle w:val="NonTOCHeading1"/>
      </w:pPr>
      <w:r w:rsidRPr="00220B88">
        <w:lastRenderedPageBreak/>
        <w:t>About NZIER</w:t>
      </w:r>
    </w:p>
    <w:p w:rsidR="00A3232C" w:rsidRPr="00643138" w:rsidRDefault="00A3232C" w:rsidP="00AE01EA">
      <w:pPr>
        <w:pStyle w:val="BodyText"/>
      </w:pPr>
      <w:r w:rsidRPr="00643138">
        <w:t xml:space="preserve">NZIER is a specialist consulting firm that uses applied economic research and analysis to provide a wide range of strategic advice to clients in the public and private sectors, throughout New Zealand and Australia, and further afield. </w:t>
      </w:r>
    </w:p>
    <w:p w:rsidR="00A3232C" w:rsidRPr="00A3232C" w:rsidRDefault="00A3232C" w:rsidP="00AE01EA">
      <w:pPr>
        <w:pStyle w:val="BodyText"/>
      </w:pPr>
      <w:r w:rsidRPr="00A3232C">
        <w:t xml:space="preserve">NZIER is also known for its long-established Quarterly Survey of Business Opinion and Quarterly Predictions. </w:t>
      </w:r>
    </w:p>
    <w:p w:rsidR="00A3232C" w:rsidRPr="00A3232C" w:rsidRDefault="00A3232C" w:rsidP="001E584D">
      <w:pPr>
        <w:pStyle w:val="BodyText"/>
      </w:pPr>
      <w:r w:rsidRPr="00A3232C">
        <w:t>Our aim is to be the premier centre of applied economic research in New Zealand. We pride ourselves on our reputation for independence and delivering quality analysis in the right form, and at the right time, for our clients. We ensure quality through teamwork on individual projects, critical review at internal seminars, and by peer review at various stages through a project by a senior staff member otherwise not involved in the project.</w:t>
      </w:r>
    </w:p>
    <w:p w:rsidR="00A3232C" w:rsidRPr="00A3232C" w:rsidRDefault="00A3232C" w:rsidP="00AE01EA">
      <w:pPr>
        <w:pStyle w:val="BodyText"/>
      </w:pPr>
      <w:r w:rsidRPr="00A3232C">
        <w:t xml:space="preserve">Each year NZIER devotes resources to undertake and make freely available economic research and thinking aimed at promoting a better understanding of New Zealand’s important economic challenges. </w:t>
      </w:r>
    </w:p>
    <w:p w:rsidR="00A3232C" w:rsidRPr="00A3232C" w:rsidRDefault="00A3232C" w:rsidP="00AE01EA">
      <w:pPr>
        <w:pStyle w:val="BodyText"/>
      </w:pPr>
      <w:r w:rsidRPr="00A3232C">
        <w:t>NZIER was established in 1958.</w:t>
      </w:r>
    </w:p>
    <w:p w:rsidR="00CB69C8" w:rsidRPr="00643138" w:rsidRDefault="00CB69C8" w:rsidP="00AE01EA">
      <w:pPr>
        <w:pStyle w:val="NonTOCHeading2"/>
      </w:pPr>
      <w:r w:rsidRPr="00643138">
        <w:t>Authorship</w:t>
      </w:r>
    </w:p>
    <w:p w:rsidR="00695C22" w:rsidRPr="00643138" w:rsidRDefault="00695C22" w:rsidP="00AE01EA">
      <w:pPr>
        <w:pStyle w:val="BodyText"/>
      </w:pPr>
      <w:r w:rsidRPr="00643138">
        <w:t xml:space="preserve">This paper was prepared at NZIER by </w:t>
      </w:r>
      <w:r w:rsidR="000E33A0">
        <w:t>Mike Hensen</w:t>
      </w:r>
    </w:p>
    <w:p w:rsidR="00695C22" w:rsidRPr="00643138" w:rsidRDefault="00695C22" w:rsidP="00AE01EA">
      <w:pPr>
        <w:pStyle w:val="BodyText"/>
      </w:pPr>
      <w:r w:rsidRPr="00643138">
        <w:t xml:space="preserve">It was quality approved by </w:t>
      </w:r>
      <w:r w:rsidR="003E7C76">
        <w:t>John Ballingall</w:t>
      </w:r>
    </w:p>
    <w:p w:rsidR="00CB69C8" w:rsidRDefault="00CB69C8" w:rsidP="00AE01EA">
      <w:pPr>
        <w:pStyle w:val="BodyText"/>
      </w:pPr>
    </w:p>
    <w:p w:rsidR="00CB69C8" w:rsidRDefault="00CB69C8" w:rsidP="00AE01EA">
      <w:pPr>
        <w:pStyle w:val="BodyText"/>
        <w:sectPr w:rsidR="00CB69C8" w:rsidSect="00C17D87">
          <w:headerReference w:type="even" r:id="rId14"/>
          <w:footerReference w:type="even" r:id="rId15"/>
          <w:headerReference w:type="first" r:id="rId16"/>
          <w:footerReference w:type="first" r:id="rId17"/>
          <w:type w:val="oddPage"/>
          <w:pgSz w:w="11907" w:h="16840" w:code="9"/>
          <w:pgMar w:top="3402" w:right="1701" w:bottom="1134" w:left="2552" w:header="1134" w:footer="567" w:gutter="0"/>
          <w:cols w:space="720"/>
          <w:titlePg/>
        </w:sectPr>
      </w:pPr>
    </w:p>
    <w:p w:rsidR="00CB69C8" w:rsidRPr="00AE01EA" w:rsidRDefault="00CB69C8" w:rsidP="00F9369D">
      <w:pPr>
        <w:pStyle w:val="NonTOCHeading24pt"/>
      </w:pPr>
      <w:bookmarkStart w:id="0" w:name="_Toc311544471"/>
      <w:bookmarkStart w:id="1" w:name="_Toc311618843"/>
      <w:bookmarkStart w:id="2" w:name="_Toc312079488"/>
      <w:r w:rsidRPr="00AE01EA">
        <w:lastRenderedPageBreak/>
        <w:t xml:space="preserve">Key </w:t>
      </w:r>
      <w:r w:rsidR="00C3061D" w:rsidRPr="00AE01EA">
        <w:t>p</w:t>
      </w:r>
      <w:r w:rsidRPr="00AE01EA">
        <w:t>oints</w:t>
      </w:r>
      <w:bookmarkEnd w:id="0"/>
      <w:bookmarkEnd w:id="1"/>
      <w:bookmarkEnd w:id="2"/>
    </w:p>
    <w:p w:rsidR="007E2C48" w:rsidRDefault="0023769C" w:rsidP="00AE01EA">
      <w:pPr>
        <w:pStyle w:val="BodyText"/>
      </w:pPr>
      <w:r>
        <w:t xml:space="preserve">The likely approval and implementation of the WREDA proposal will achieve some of the efficiency and effectiveness benefits of the proposal to merge the Wellington territorial authority councils into a single council. </w:t>
      </w:r>
    </w:p>
    <w:p w:rsidR="005C7EC4" w:rsidRDefault="0023769C" w:rsidP="00AE01EA">
      <w:pPr>
        <w:pStyle w:val="BodyText"/>
      </w:pPr>
      <w:r>
        <w:t xml:space="preserve">Effectively the WREDA proposal consolidates about two thirds of the economic development spending under a regionally focused entity </w:t>
      </w:r>
      <w:r w:rsidR="005F6EBA">
        <w:t xml:space="preserve">tasked </w:t>
      </w:r>
      <w:r>
        <w:t xml:space="preserve">with </w:t>
      </w:r>
      <w:r w:rsidR="005F6EBA">
        <w:t>delivering the Wellington R</w:t>
      </w:r>
      <w:r>
        <w:t xml:space="preserve">egional </w:t>
      </w:r>
      <w:r w:rsidR="005F6EBA">
        <w:t>S</w:t>
      </w:r>
      <w:r>
        <w:t xml:space="preserve">trategy </w:t>
      </w:r>
      <w:r w:rsidR="005F6EBA">
        <w:t xml:space="preserve">(WRS) </w:t>
      </w:r>
      <w:r>
        <w:t>agreed</w:t>
      </w:r>
      <w:r w:rsidR="005F6EBA">
        <w:t xml:space="preserve"> by councils in 2012</w:t>
      </w:r>
      <w:r>
        <w:t>. The WREDA proposal also creates a domi</w:t>
      </w:r>
      <w:r w:rsidR="005C7EC4">
        <w:t>nant regional part</w:t>
      </w:r>
      <w:r w:rsidR="005F6EBA">
        <w:t>ner</w:t>
      </w:r>
      <w:r w:rsidR="005C7EC4">
        <w:t xml:space="preserve"> that should be capable of efficiently and effectively obtaining co-funding for economic development from both central government and the private sector</w:t>
      </w:r>
      <w:r w:rsidR="003B6803">
        <w:t xml:space="preserve"> to </w:t>
      </w:r>
      <w:r w:rsidR="005F6EBA">
        <w:t>achieve the objectives of the WRS.</w:t>
      </w:r>
    </w:p>
    <w:p w:rsidR="00742074" w:rsidRDefault="00A4739F" w:rsidP="00AE01EA">
      <w:pPr>
        <w:pStyle w:val="BodyText"/>
      </w:pPr>
      <w:r>
        <w:t>A</w:t>
      </w:r>
      <w:r w:rsidR="0023769C">
        <w:t xml:space="preserve"> merger of th</w:t>
      </w:r>
      <w:r w:rsidR="005C7EC4">
        <w:t xml:space="preserve">e Wellington territorial authority councils into a single Wellington wide council would be expected to provide further efficiency and effectiveness benefits </w:t>
      </w:r>
      <w:r w:rsidR="005F6EBA">
        <w:t xml:space="preserve">in the use of </w:t>
      </w:r>
      <w:r w:rsidR="005C7EC4">
        <w:t>the remaining one third of council economic development spending by:</w:t>
      </w:r>
    </w:p>
    <w:p w:rsidR="005C7EC4" w:rsidRDefault="0026348F" w:rsidP="005C7EC4">
      <w:pPr>
        <w:pStyle w:val="Bullet"/>
      </w:pPr>
      <w:r>
        <w:t xml:space="preserve">removing any remaining duplication in promotion spending </w:t>
      </w:r>
      <w:r w:rsidR="005F6EBA">
        <w:t>or</w:t>
      </w:r>
      <w:r>
        <w:t xml:space="preserve"> </w:t>
      </w:r>
      <w:r w:rsidR="005F6EBA">
        <w:t xml:space="preserve">competition between councils to attract </w:t>
      </w:r>
      <w:r>
        <w:t>business</w:t>
      </w:r>
      <w:r w:rsidR="005F6EBA">
        <w:t>es</w:t>
      </w:r>
    </w:p>
    <w:p w:rsidR="0026348F" w:rsidRDefault="0026348F" w:rsidP="005C7EC4">
      <w:pPr>
        <w:pStyle w:val="Bullet"/>
      </w:pPr>
      <w:r>
        <w:t>expanding the funding base that the region can leverage for co-funding from central government and the private sector</w:t>
      </w:r>
      <w:r w:rsidR="005F6EBA">
        <w:t>.</w:t>
      </w:r>
    </w:p>
    <w:p w:rsidR="005F6EBA" w:rsidRDefault="00A4739F" w:rsidP="005F6EBA">
      <w:pPr>
        <w:pStyle w:val="BodyText"/>
      </w:pPr>
      <w:r>
        <w:t>However the regional entity will also need to preserve some form of local community representation and channels for delivery of business advice to small and medium sized ent</w:t>
      </w:r>
      <w:r w:rsidR="00CB054C">
        <w:t>erprises.</w:t>
      </w:r>
    </w:p>
    <w:p w:rsidR="00325C43" w:rsidRDefault="00325C43" w:rsidP="005B08BF">
      <w:pPr>
        <w:pStyle w:val="NonTOCHeading24pt"/>
      </w:pPr>
      <w:bookmarkStart w:id="3" w:name="_Toc311544472"/>
      <w:r>
        <w:lastRenderedPageBreak/>
        <w:t>Contents</w:t>
      </w:r>
      <w:bookmarkEnd w:id="3"/>
    </w:p>
    <w:p w:rsidR="006C12AC" w:rsidRDefault="00173B8B">
      <w:pPr>
        <w:pStyle w:val="TOC1"/>
        <w:rPr>
          <w:rFonts w:eastAsiaTheme="minorEastAsia"/>
          <w:noProof/>
          <w:lang w:eastAsia="en-NZ"/>
        </w:rPr>
      </w:pPr>
      <w:r>
        <w:fldChar w:fldCharType="begin"/>
      </w:r>
      <w:r w:rsidR="004B2C5D">
        <w:instrText xml:space="preserve"> TOC \o "2-2" \t "Heading 1,1,Unnumbered Heading 1,1,Unnumbered Heading 2,2" </w:instrText>
      </w:r>
      <w:r>
        <w:fldChar w:fldCharType="separate"/>
      </w:r>
      <w:r w:rsidR="006C12AC">
        <w:rPr>
          <w:noProof/>
        </w:rPr>
        <w:t>1.</w:t>
      </w:r>
      <w:r w:rsidR="006C12AC">
        <w:rPr>
          <w:rFonts w:eastAsiaTheme="minorEastAsia"/>
          <w:noProof/>
          <w:lang w:eastAsia="en-NZ"/>
        </w:rPr>
        <w:tab/>
      </w:r>
      <w:r w:rsidR="006C12AC">
        <w:rPr>
          <w:noProof/>
        </w:rPr>
        <w:t>Introduction</w:t>
      </w:r>
      <w:r w:rsidR="006C12AC">
        <w:rPr>
          <w:noProof/>
        </w:rPr>
        <w:tab/>
      </w:r>
      <w:r w:rsidR="006C12AC">
        <w:rPr>
          <w:noProof/>
        </w:rPr>
        <w:fldChar w:fldCharType="begin"/>
      </w:r>
      <w:r w:rsidR="006C12AC">
        <w:rPr>
          <w:noProof/>
        </w:rPr>
        <w:instrText xml:space="preserve"> PAGEREF _Toc397342135 \h </w:instrText>
      </w:r>
      <w:r w:rsidR="006C12AC">
        <w:rPr>
          <w:noProof/>
        </w:rPr>
      </w:r>
      <w:r w:rsidR="006C12AC">
        <w:rPr>
          <w:noProof/>
        </w:rPr>
        <w:fldChar w:fldCharType="separate"/>
      </w:r>
      <w:r w:rsidR="006C12AC">
        <w:rPr>
          <w:noProof/>
        </w:rPr>
        <w:t>1</w:t>
      </w:r>
      <w:r w:rsidR="006C12AC">
        <w:rPr>
          <w:noProof/>
        </w:rPr>
        <w:fldChar w:fldCharType="end"/>
      </w:r>
    </w:p>
    <w:p w:rsidR="006C12AC" w:rsidRDefault="006C12AC">
      <w:pPr>
        <w:pStyle w:val="TOC2"/>
      </w:pPr>
      <w:r w:rsidRPr="00F72B6D">
        <w:rPr>
          <w:lang w:val="en-US"/>
        </w:rPr>
        <w:t>1.1.</w:t>
      </w:r>
      <w:r>
        <w:tab/>
      </w:r>
      <w:r w:rsidRPr="00F72B6D">
        <w:rPr>
          <w:lang w:val="en-US"/>
        </w:rPr>
        <w:t>Scope</w:t>
      </w:r>
      <w:r>
        <w:tab/>
      </w:r>
      <w:r>
        <w:fldChar w:fldCharType="begin"/>
      </w:r>
      <w:r>
        <w:instrText xml:space="preserve"> PAGEREF _Toc397342136 \h </w:instrText>
      </w:r>
      <w:r>
        <w:fldChar w:fldCharType="separate"/>
      </w:r>
      <w:r>
        <w:t>1</w:t>
      </w:r>
      <w:r>
        <w:fldChar w:fldCharType="end"/>
      </w:r>
    </w:p>
    <w:p w:rsidR="006C12AC" w:rsidRDefault="006C12AC">
      <w:pPr>
        <w:pStyle w:val="TOC2"/>
      </w:pPr>
      <w:r>
        <w:t>1.2.</w:t>
      </w:r>
      <w:r>
        <w:tab/>
        <w:t>Reasonable practical options</w:t>
      </w:r>
      <w:r>
        <w:tab/>
      </w:r>
      <w:r>
        <w:fldChar w:fldCharType="begin"/>
      </w:r>
      <w:r>
        <w:instrText xml:space="preserve"> PAGEREF _Toc397342137 \h </w:instrText>
      </w:r>
      <w:r>
        <w:fldChar w:fldCharType="separate"/>
      </w:r>
      <w:r>
        <w:t>1</w:t>
      </w:r>
      <w:r>
        <w:fldChar w:fldCharType="end"/>
      </w:r>
    </w:p>
    <w:p w:rsidR="006C12AC" w:rsidRDefault="006C12AC">
      <w:pPr>
        <w:pStyle w:val="TOC2"/>
      </w:pPr>
      <w:r>
        <w:t>1.3.</w:t>
      </w:r>
      <w:r>
        <w:tab/>
        <w:t>Criteria</w:t>
      </w:r>
      <w:r>
        <w:tab/>
      </w:r>
      <w:r>
        <w:fldChar w:fldCharType="begin"/>
      </w:r>
      <w:r>
        <w:instrText xml:space="preserve"> PAGEREF _Toc397342138 \h </w:instrText>
      </w:r>
      <w:r>
        <w:fldChar w:fldCharType="separate"/>
      </w:r>
      <w:r>
        <w:t>2</w:t>
      </w:r>
      <w:r>
        <w:fldChar w:fldCharType="end"/>
      </w:r>
    </w:p>
    <w:p w:rsidR="006C12AC" w:rsidRDefault="006C12AC">
      <w:pPr>
        <w:pStyle w:val="TOC1"/>
        <w:rPr>
          <w:rFonts w:eastAsiaTheme="minorEastAsia"/>
          <w:noProof/>
          <w:lang w:eastAsia="en-NZ"/>
        </w:rPr>
      </w:pPr>
      <w:r>
        <w:rPr>
          <w:noProof/>
        </w:rPr>
        <w:t>2.</w:t>
      </w:r>
      <w:r>
        <w:rPr>
          <w:rFonts w:eastAsiaTheme="minorEastAsia"/>
          <w:noProof/>
          <w:lang w:eastAsia="en-NZ"/>
        </w:rPr>
        <w:tab/>
      </w:r>
      <w:r>
        <w:rPr>
          <w:noProof/>
        </w:rPr>
        <w:t>Current situation</w:t>
      </w:r>
      <w:r>
        <w:rPr>
          <w:noProof/>
        </w:rPr>
        <w:tab/>
      </w:r>
      <w:r>
        <w:rPr>
          <w:noProof/>
        </w:rPr>
        <w:fldChar w:fldCharType="begin"/>
      </w:r>
      <w:r>
        <w:rPr>
          <w:noProof/>
        </w:rPr>
        <w:instrText xml:space="preserve"> PAGEREF _Toc397342139 \h </w:instrText>
      </w:r>
      <w:r>
        <w:rPr>
          <w:noProof/>
        </w:rPr>
      </w:r>
      <w:r>
        <w:rPr>
          <w:noProof/>
        </w:rPr>
        <w:fldChar w:fldCharType="separate"/>
      </w:r>
      <w:r>
        <w:rPr>
          <w:noProof/>
        </w:rPr>
        <w:t>3</w:t>
      </w:r>
      <w:r>
        <w:rPr>
          <w:noProof/>
        </w:rPr>
        <w:fldChar w:fldCharType="end"/>
      </w:r>
    </w:p>
    <w:p w:rsidR="006C12AC" w:rsidRDefault="006C12AC">
      <w:pPr>
        <w:pStyle w:val="TOC2"/>
      </w:pPr>
      <w:r>
        <w:t>2.1.</w:t>
      </w:r>
      <w:r>
        <w:tab/>
        <w:t>Economic development arrangements</w:t>
      </w:r>
      <w:r>
        <w:tab/>
      </w:r>
      <w:r>
        <w:fldChar w:fldCharType="begin"/>
      </w:r>
      <w:r>
        <w:instrText xml:space="preserve"> PAGEREF _Toc397342140 \h </w:instrText>
      </w:r>
      <w:r>
        <w:fldChar w:fldCharType="separate"/>
      </w:r>
      <w:r>
        <w:t>3</w:t>
      </w:r>
      <w:r>
        <w:fldChar w:fldCharType="end"/>
      </w:r>
    </w:p>
    <w:p w:rsidR="006C12AC" w:rsidRDefault="006C12AC">
      <w:pPr>
        <w:pStyle w:val="TOC2"/>
      </w:pPr>
      <w:r>
        <w:t>2.2.</w:t>
      </w:r>
      <w:r>
        <w:tab/>
        <w:t>Wellington Regional Strategy</w:t>
      </w:r>
      <w:r>
        <w:tab/>
      </w:r>
      <w:r>
        <w:fldChar w:fldCharType="begin"/>
      </w:r>
      <w:r>
        <w:instrText xml:space="preserve"> PAGEREF _Toc397342141 \h </w:instrText>
      </w:r>
      <w:r>
        <w:fldChar w:fldCharType="separate"/>
      </w:r>
      <w:r>
        <w:t>5</w:t>
      </w:r>
      <w:r>
        <w:fldChar w:fldCharType="end"/>
      </w:r>
    </w:p>
    <w:p w:rsidR="006C12AC" w:rsidRDefault="006C12AC">
      <w:pPr>
        <w:pStyle w:val="TOC2"/>
      </w:pPr>
      <w:r>
        <w:t>2.3.</w:t>
      </w:r>
      <w:r>
        <w:tab/>
        <w:t>WREDA proposal</w:t>
      </w:r>
      <w:r>
        <w:tab/>
      </w:r>
      <w:r>
        <w:fldChar w:fldCharType="begin"/>
      </w:r>
      <w:r>
        <w:instrText xml:space="preserve"> PAGEREF _Toc397342142 \h </w:instrText>
      </w:r>
      <w:r>
        <w:fldChar w:fldCharType="separate"/>
      </w:r>
      <w:r>
        <w:t>7</w:t>
      </w:r>
      <w:r>
        <w:fldChar w:fldCharType="end"/>
      </w:r>
    </w:p>
    <w:p w:rsidR="006C12AC" w:rsidRDefault="006C12AC">
      <w:pPr>
        <w:pStyle w:val="TOC1"/>
        <w:rPr>
          <w:rFonts w:eastAsiaTheme="minorEastAsia"/>
          <w:noProof/>
          <w:lang w:eastAsia="en-NZ"/>
        </w:rPr>
      </w:pPr>
      <w:r>
        <w:rPr>
          <w:noProof/>
        </w:rPr>
        <w:t>3.</w:t>
      </w:r>
      <w:r>
        <w:rPr>
          <w:rFonts w:eastAsiaTheme="minorEastAsia"/>
          <w:noProof/>
          <w:lang w:eastAsia="en-NZ"/>
        </w:rPr>
        <w:tab/>
      </w:r>
      <w:r>
        <w:rPr>
          <w:noProof/>
        </w:rPr>
        <w:t>Reasonable practicable options</w:t>
      </w:r>
      <w:r>
        <w:rPr>
          <w:noProof/>
        </w:rPr>
        <w:tab/>
      </w:r>
      <w:r>
        <w:rPr>
          <w:noProof/>
        </w:rPr>
        <w:fldChar w:fldCharType="begin"/>
      </w:r>
      <w:r>
        <w:rPr>
          <w:noProof/>
        </w:rPr>
        <w:instrText xml:space="preserve"> PAGEREF _Toc397342143 \h </w:instrText>
      </w:r>
      <w:r>
        <w:rPr>
          <w:noProof/>
        </w:rPr>
      </w:r>
      <w:r>
        <w:rPr>
          <w:noProof/>
        </w:rPr>
        <w:fldChar w:fldCharType="separate"/>
      </w:r>
      <w:r>
        <w:rPr>
          <w:noProof/>
        </w:rPr>
        <w:t>9</w:t>
      </w:r>
      <w:r>
        <w:rPr>
          <w:noProof/>
        </w:rPr>
        <w:fldChar w:fldCharType="end"/>
      </w:r>
    </w:p>
    <w:p w:rsidR="006C12AC" w:rsidRDefault="006C12AC">
      <w:pPr>
        <w:pStyle w:val="TOC2"/>
      </w:pPr>
      <w:r>
        <w:t>3.1.</w:t>
      </w:r>
      <w:r>
        <w:tab/>
        <w:t>What are they?</w:t>
      </w:r>
      <w:r>
        <w:tab/>
      </w:r>
      <w:r>
        <w:fldChar w:fldCharType="begin"/>
      </w:r>
      <w:r>
        <w:instrText xml:space="preserve"> PAGEREF _Toc397342144 \h </w:instrText>
      </w:r>
      <w:r>
        <w:fldChar w:fldCharType="separate"/>
      </w:r>
      <w:r>
        <w:t>9</w:t>
      </w:r>
      <w:r>
        <w:fldChar w:fldCharType="end"/>
      </w:r>
    </w:p>
    <w:p w:rsidR="006C12AC" w:rsidRDefault="006C12AC">
      <w:pPr>
        <w:pStyle w:val="TOC2"/>
      </w:pPr>
      <w:r>
        <w:t>3.2.</w:t>
      </w:r>
      <w:r>
        <w:tab/>
        <w:t>In-principle benefits</w:t>
      </w:r>
      <w:r>
        <w:tab/>
      </w:r>
      <w:r>
        <w:fldChar w:fldCharType="begin"/>
      </w:r>
      <w:r>
        <w:instrText xml:space="preserve"> PAGEREF _Toc397342145 \h </w:instrText>
      </w:r>
      <w:r>
        <w:fldChar w:fldCharType="separate"/>
      </w:r>
      <w:r>
        <w:t>9</w:t>
      </w:r>
      <w:r>
        <w:fldChar w:fldCharType="end"/>
      </w:r>
    </w:p>
    <w:p w:rsidR="006C12AC" w:rsidRDefault="006C12AC">
      <w:pPr>
        <w:pStyle w:val="TOC2"/>
      </w:pPr>
      <w:r>
        <w:t>3.3.</w:t>
      </w:r>
      <w:r>
        <w:tab/>
        <w:t>In-principle risks</w:t>
      </w:r>
      <w:r>
        <w:tab/>
      </w:r>
      <w:r>
        <w:fldChar w:fldCharType="begin"/>
      </w:r>
      <w:r>
        <w:instrText xml:space="preserve"> PAGEREF _Toc397342146 \h </w:instrText>
      </w:r>
      <w:r>
        <w:fldChar w:fldCharType="separate"/>
      </w:r>
      <w:r>
        <w:t>10</w:t>
      </w:r>
      <w:r>
        <w:fldChar w:fldCharType="end"/>
      </w:r>
    </w:p>
    <w:p w:rsidR="006C12AC" w:rsidRDefault="006C12AC">
      <w:pPr>
        <w:pStyle w:val="TOC2"/>
      </w:pPr>
      <w:r>
        <w:t>3.4.</w:t>
      </w:r>
      <w:r>
        <w:tab/>
        <w:t>How do they compare?</w:t>
      </w:r>
      <w:r>
        <w:tab/>
      </w:r>
      <w:r>
        <w:fldChar w:fldCharType="begin"/>
      </w:r>
      <w:r>
        <w:instrText xml:space="preserve"> PAGEREF _Toc397342147 \h </w:instrText>
      </w:r>
      <w:r>
        <w:fldChar w:fldCharType="separate"/>
      </w:r>
      <w:r>
        <w:t>11</w:t>
      </w:r>
      <w:r>
        <w:fldChar w:fldCharType="end"/>
      </w:r>
    </w:p>
    <w:p w:rsidR="006C12AC" w:rsidRDefault="006C12AC">
      <w:pPr>
        <w:pStyle w:val="TOC2"/>
      </w:pPr>
      <w:r>
        <w:t>3.5.</w:t>
      </w:r>
      <w:r>
        <w:tab/>
        <w:t>Conclusion</w:t>
      </w:r>
      <w:r>
        <w:tab/>
      </w:r>
      <w:r>
        <w:fldChar w:fldCharType="begin"/>
      </w:r>
      <w:r>
        <w:instrText xml:space="preserve"> PAGEREF _Toc397342148 \h </w:instrText>
      </w:r>
      <w:r>
        <w:fldChar w:fldCharType="separate"/>
      </w:r>
      <w:r>
        <w:t>11</w:t>
      </w:r>
      <w:r>
        <w:fldChar w:fldCharType="end"/>
      </w:r>
    </w:p>
    <w:p w:rsidR="004A63B0" w:rsidRDefault="00173B8B" w:rsidP="00BB1842">
      <w:pPr>
        <w:pStyle w:val="TOC1"/>
        <w:ind w:left="357" w:hanging="357"/>
      </w:pPr>
      <w:r>
        <w:fldChar w:fldCharType="end"/>
      </w:r>
    </w:p>
    <w:p w:rsidR="000238E8" w:rsidRDefault="000238E8" w:rsidP="005B08BF">
      <w:pPr>
        <w:pStyle w:val="NonTOCHeading3"/>
      </w:pPr>
      <w:r>
        <w:t>Tables</w:t>
      </w:r>
    </w:p>
    <w:p w:rsidR="006C12AC" w:rsidRDefault="00A86B91">
      <w:pPr>
        <w:pStyle w:val="TableofFigures"/>
        <w:tabs>
          <w:tab w:val="right" w:leader="dot" w:pos="7644"/>
        </w:tabs>
        <w:rPr>
          <w:rFonts w:eastAsiaTheme="minorEastAsia" w:cstheme="minorBidi"/>
          <w:noProof/>
          <w:sz w:val="22"/>
          <w:szCs w:val="22"/>
          <w:lang w:eastAsia="en-NZ"/>
        </w:rPr>
      </w:pPr>
      <w:r>
        <w:fldChar w:fldCharType="begin"/>
      </w:r>
      <w:r>
        <w:instrText xml:space="preserve"> TOC \c "Table" </w:instrText>
      </w:r>
      <w:r>
        <w:fldChar w:fldCharType="separate"/>
      </w:r>
      <w:bookmarkStart w:id="4" w:name="_GoBack"/>
      <w:bookmarkEnd w:id="4"/>
      <w:r w:rsidR="006C12AC">
        <w:rPr>
          <w:noProof/>
        </w:rPr>
        <w:t>Table 1 Economic development budget</w:t>
      </w:r>
      <w:r w:rsidR="006C12AC">
        <w:rPr>
          <w:noProof/>
        </w:rPr>
        <w:tab/>
      </w:r>
      <w:r w:rsidR="006C12AC">
        <w:rPr>
          <w:noProof/>
        </w:rPr>
        <w:fldChar w:fldCharType="begin"/>
      </w:r>
      <w:r w:rsidR="006C12AC">
        <w:rPr>
          <w:noProof/>
        </w:rPr>
        <w:instrText xml:space="preserve"> PAGEREF _Toc397342149 \h </w:instrText>
      </w:r>
      <w:r w:rsidR="006C12AC">
        <w:rPr>
          <w:noProof/>
        </w:rPr>
      </w:r>
      <w:r w:rsidR="006C12AC">
        <w:rPr>
          <w:noProof/>
        </w:rPr>
        <w:fldChar w:fldCharType="separate"/>
      </w:r>
      <w:r w:rsidR="006C12AC">
        <w:rPr>
          <w:noProof/>
        </w:rPr>
        <w:t>4</w:t>
      </w:r>
      <w:r w:rsidR="006C12AC">
        <w:rPr>
          <w:noProof/>
        </w:rPr>
        <w:fldChar w:fldCharType="end"/>
      </w:r>
    </w:p>
    <w:p w:rsidR="006C12AC" w:rsidRDefault="006C12AC">
      <w:pPr>
        <w:pStyle w:val="TableofFigures"/>
        <w:tabs>
          <w:tab w:val="right" w:leader="dot" w:pos="7644"/>
        </w:tabs>
        <w:rPr>
          <w:rFonts w:eastAsiaTheme="minorEastAsia" w:cstheme="minorBidi"/>
          <w:noProof/>
          <w:sz w:val="22"/>
          <w:szCs w:val="22"/>
          <w:lang w:eastAsia="en-NZ"/>
        </w:rPr>
      </w:pPr>
      <w:r>
        <w:rPr>
          <w:noProof/>
        </w:rPr>
        <w:t>Table 2 WREDA funding proposal</w:t>
      </w:r>
      <w:r>
        <w:rPr>
          <w:noProof/>
        </w:rPr>
        <w:tab/>
      </w:r>
      <w:r>
        <w:rPr>
          <w:noProof/>
        </w:rPr>
        <w:fldChar w:fldCharType="begin"/>
      </w:r>
      <w:r>
        <w:rPr>
          <w:noProof/>
        </w:rPr>
        <w:instrText xml:space="preserve"> PAGEREF _Toc397342150 \h </w:instrText>
      </w:r>
      <w:r>
        <w:rPr>
          <w:noProof/>
        </w:rPr>
      </w:r>
      <w:r>
        <w:rPr>
          <w:noProof/>
        </w:rPr>
        <w:fldChar w:fldCharType="separate"/>
      </w:r>
      <w:r>
        <w:rPr>
          <w:noProof/>
        </w:rPr>
        <w:t>8</w:t>
      </w:r>
      <w:r>
        <w:rPr>
          <w:noProof/>
        </w:rPr>
        <w:fldChar w:fldCharType="end"/>
      </w:r>
    </w:p>
    <w:p w:rsidR="001150C0" w:rsidRPr="00B920E2" w:rsidRDefault="00A86B91" w:rsidP="005B08BF">
      <w:r>
        <w:rPr>
          <w:b/>
          <w:bCs/>
          <w:noProof/>
          <w:lang w:val="en-US"/>
        </w:rPr>
        <w:fldChar w:fldCharType="end"/>
      </w:r>
    </w:p>
    <w:p w:rsidR="000238E8" w:rsidRDefault="000238E8" w:rsidP="00AE01EA"/>
    <w:p w:rsidR="004A63B0" w:rsidRDefault="004A63B0" w:rsidP="00AE01EA">
      <w:pPr>
        <w:sectPr w:rsidR="004A63B0" w:rsidSect="00C17D87">
          <w:headerReference w:type="even" r:id="rId18"/>
          <w:headerReference w:type="default" r:id="rId19"/>
          <w:footerReference w:type="even" r:id="rId20"/>
          <w:footerReference w:type="default" r:id="rId21"/>
          <w:headerReference w:type="first" r:id="rId22"/>
          <w:footerReference w:type="first" r:id="rId23"/>
          <w:type w:val="oddPage"/>
          <w:pgSz w:w="11907" w:h="16840" w:code="9"/>
          <w:pgMar w:top="2268" w:right="1701" w:bottom="1134" w:left="2552" w:header="1134" w:footer="567" w:gutter="0"/>
          <w:pgNumType w:fmt="lowerRoman" w:start="1"/>
          <w:cols w:space="720"/>
        </w:sectPr>
      </w:pPr>
    </w:p>
    <w:p w:rsidR="00990C72" w:rsidRDefault="00990C72" w:rsidP="00922AE1">
      <w:pPr>
        <w:pStyle w:val="Heading1"/>
      </w:pPr>
      <w:bookmarkStart w:id="5" w:name="_Toc397342135"/>
      <w:r>
        <w:lastRenderedPageBreak/>
        <w:t>Introduction</w:t>
      </w:r>
      <w:bookmarkEnd w:id="5"/>
    </w:p>
    <w:p w:rsidR="00990C72" w:rsidRDefault="00990C72" w:rsidP="00990C72">
      <w:pPr>
        <w:pStyle w:val="Heading2"/>
        <w:rPr>
          <w:lang w:val="en-US"/>
        </w:rPr>
      </w:pPr>
      <w:bookmarkStart w:id="6" w:name="_Toc397342136"/>
      <w:r>
        <w:rPr>
          <w:lang w:val="en-US"/>
        </w:rPr>
        <w:t>Scope</w:t>
      </w:r>
      <w:bookmarkEnd w:id="6"/>
    </w:p>
    <w:p w:rsidR="00990C72" w:rsidRDefault="00990C72" w:rsidP="00990C72">
      <w:pPr>
        <w:pStyle w:val="BodyText"/>
        <w:rPr>
          <w:lang w:val="en-US"/>
        </w:rPr>
      </w:pPr>
      <w:r>
        <w:rPr>
          <w:lang w:val="en-US"/>
        </w:rPr>
        <w:t>The Local Government Commission has r</w:t>
      </w:r>
      <w:r w:rsidRPr="00CF3C7C">
        <w:rPr>
          <w:lang w:val="en-US"/>
        </w:rPr>
        <w:t xml:space="preserve">eceived two alternative proposals for the arrangement of local government in the Wellington Region. </w:t>
      </w:r>
      <w:r>
        <w:rPr>
          <w:lang w:val="en-US"/>
        </w:rPr>
        <w:t xml:space="preserve">These are for a unitary council in the Wairarapa and for </w:t>
      </w:r>
      <w:r w:rsidR="0091779F">
        <w:rPr>
          <w:lang w:val="en-US"/>
        </w:rPr>
        <w:t xml:space="preserve">a </w:t>
      </w:r>
      <w:r>
        <w:rPr>
          <w:lang w:val="en-US"/>
        </w:rPr>
        <w:t>unitary council for the whole of the Wellington Region with a second ‘Board’ tier of local governance.</w:t>
      </w:r>
    </w:p>
    <w:p w:rsidR="00990C72" w:rsidRDefault="00990C72" w:rsidP="00EB0C03">
      <w:pPr>
        <w:pStyle w:val="BodyText"/>
        <w:rPr>
          <w:lang w:val="en-US"/>
        </w:rPr>
      </w:pPr>
      <w:r>
        <w:rPr>
          <w:lang w:val="en-US"/>
        </w:rPr>
        <w:t>The objective of th</w:t>
      </w:r>
      <w:r w:rsidR="0091779F">
        <w:rPr>
          <w:lang w:val="en-US"/>
        </w:rPr>
        <w:t>is paper</w:t>
      </w:r>
      <w:r>
        <w:rPr>
          <w:lang w:val="en-US"/>
        </w:rPr>
        <w:t xml:space="preserve"> is to evaluate the cost and benefit of status quo arrangements for the delivery of economic development promotion services against other options including the opportunities associated with a single regional approach. This implies:</w:t>
      </w:r>
    </w:p>
    <w:p w:rsidR="00990C72" w:rsidRPr="00CF4D24" w:rsidRDefault="00990C72" w:rsidP="00CF4D24">
      <w:pPr>
        <w:pStyle w:val="Bullet"/>
      </w:pPr>
      <w:r w:rsidRPr="00CF4D24">
        <w:t>Assessing existing arrangements, including recent proposals for amalgamation of some of them.</w:t>
      </w:r>
    </w:p>
    <w:p w:rsidR="00990C72" w:rsidRDefault="00990C72" w:rsidP="00CF4D24">
      <w:pPr>
        <w:pStyle w:val="Bullet"/>
      </w:pPr>
      <w:r w:rsidRPr="00CF4D24">
        <w:t>Exploring the benefits, challenges, issues and lost opportunities associated with the current multi-local government arrangement when compared to other options.</w:t>
      </w:r>
    </w:p>
    <w:p w:rsidR="00406120" w:rsidRPr="00CF4D24" w:rsidRDefault="00D154B8" w:rsidP="00406120">
      <w:pPr>
        <w:pStyle w:val="BodyText"/>
      </w:pPr>
      <w:r>
        <w:t xml:space="preserve">This report is a high level analysis of </w:t>
      </w:r>
      <w:r w:rsidR="0091779F">
        <w:t xml:space="preserve">the </w:t>
      </w:r>
      <w:r>
        <w:t xml:space="preserve">drivers of council business development spending as described in </w:t>
      </w:r>
      <w:r w:rsidR="0091779F">
        <w:t>council</w:t>
      </w:r>
      <w:r>
        <w:t xml:space="preserve"> long term plans, key strategy documents and interviews with a small number of council staff.</w:t>
      </w:r>
    </w:p>
    <w:p w:rsidR="00EB0C03" w:rsidRDefault="00EB0C03" w:rsidP="00990C72">
      <w:pPr>
        <w:pStyle w:val="Heading2"/>
      </w:pPr>
      <w:bookmarkStart w:id="7" w:name="_Toc397342137"/>
      <w:r>
        <w:t>Reasonable practical options</w:t>
      </w:r>
      <w:bookmarkEnd w:id="7"/>
    </w:p>
    <w:p w:rsidR="006769D9" w:rsidRDefault="00EB0C03" w:rsidP="006769D9">
      <w:pPr>
        <w:pStyle w:val="BodyText"/>
      </w:pPr>
      <w:r>
        <w:t>This p</w:t>
      </w:r>
      <w:r w:rsidR="0091779F">
        <w:t>aper</w:t>
      </w:r>
      <w:r>
        <w:t xml:space="preserve"> </w:t>
      </w:r>
      <w:r w:rsidR="0091779F">
        <w:t>is</w:t>
      </w:r>
      <w:r>
        <w:t xml:space="preserve"> part of an evaluation of the </w:t>
      </w:r>
      <w:r w:rsidR="00972EC7">
        <w:t xml:space="preserve">reorganisation of Wellington councils that has received submissions on 17 reasonable practicable options. </w:t>
      </w:r>
      <w:r w:rsidR="006769D9">
        <w:t>To make the analysis task more tractable the project manager has identified 9 reasonable practicable options grouped into 4 primary reasonably practicable options) and sub-options within two of those. The 9 options are:</w:t>
      </w:r>
    </w:p>
    <w:p w:rsidR="006769D9" w:rsidRDefault="006769D9" w:rsidP="006769D9">
      <w:pPr>
        <w:pStyle w:val="Bullet"/>
      </w:pPr>
      <w:r>
        <w:t>the status quo</w:t>
      </w:r>
    </w:p>
    <w:p w:rsidR="006769D9" w:rsidRDefault="006769D9" w:rsidP="006769D9">
      <w:pPr>
        <w:pStyle w:val="Bullet"/>
      </w:pPr>
      <w:r>
        <w:t>enhanced local efficiency - territorial authority amalgamations including:</w:t>
      </w:r>
    </w:p>
    <w:p w:rsidR="006769D9" w:rsidRDefault="006769D9" w:rsidP="006769D9">
      <w:pPr>
        <w:pStyle w:val="Bullet2ndlevel"/>
      </w:pPr>
      <w:r>
        <w:t>one Wairarapa territorial authority</w:t>
      </w:r>
    </w:p>
    <w:p w:rsidR="006769D9" w:rsidRDefault="006769D9" w:rsidP="006769D9">
      <w:pPr>
        <w:pStyle w:val="Bullet2ndlevel"/>
      </w:pPr>
      <w:r>
        <w:t>one Hutt Valley territorial authority</w:t>
      </w:r>
    </w:p>
    <w:p w:rsidR="006769D9" w:rsidRDefault="006769D9" w:rsidP="006769D9">
      <w:pPr>
        <w:pStyle w:val="Bullet2ndlevel"/>
      </w:pPr>
      <w:r>
        <w:t>one Western and North Wellington territorial authority</w:t>
      </w:r>
    </w:p>
    <w:p w:rsidR="006769D9" w:rsidRDefault="006769D9" w:rsidP="006769D9">
      <w:pPr>
        <w:pStyle w:val="Bullet2ndlevel"/>
      </w:pPr>
      <w:r>
        <w:t>one Wairarapa and one Hutt Valley territorial authority plus Wellington City Council (WCC), Porirua City Council (PCC) and Kapiti Coast District Council (KCDC)</w:t>
      </w:r>
    </w:p>
    <w:p w:rsidR="006769D9" w:rsidRDefault="006769D9" w:rsidP="006769D9">
      <w:pPr>
        <w:pStyle w:val="Bullet2ndlevel"/>
      </w:pPr>
      <w:r>
        <w:t>three territorial authorities</w:t>
      </w:r>
    </w:p>
    <w:p w:rsidR="006769D9" w:rsidRDefault="006769D9" w:rsidP="006769D9">
      <w:pPr>
        <w:pStyle w:val="Bullet"/>
      </w:pPr>
      <w:r>
        <w:t>stronger regional delivery – the transfer of obligations to the Greater Wellington Regional Council</w:t>
      </w:r>
    </w:p>
    <w:p w:rsidR="006769D9" w:rsidRDefault="006769D9" w:rsidP="006769D9">
      <w:pPr>
        <w:pStyle w:val="Bullet"/>
      </w:pPr>
      <w:r>
        <w:t xml:space="preserve">one Wellington Council with no local boards </w:t>
      </w:r>
    </w:p>
    <w:p w:rsidR="006769D9" w:rsidRDefault="006769D9" w:rsidP="006769D9">
      <w:pPr>
        <w:pStyle w:val="Bullet"/>
      </w:pPr>
      <w:r>
        <w:t>one Wellington Council with local boards.</w:t>
      </w:r>
    </w:p>
    <w:p w:rsidR="00990C72" w:rsidRDefault="00990C72" w:rsidP="00990C72">
      <w:pPr>
        <w:pStyle w:val="Heading2"/>
      </w:pPr>
      <w:bookmarkStart w:id="8" w:name="_Toc397342138"/>
      <w:r>
        <w:lastRenderedPageBreak/>
        <w:t>Criteria</w:t>
      </w:r>
      <w:bookmarkEnd w:id="8"/>
    </w:p>
    <w:p w:rsidR="00772D95" w:rsidRDefault="0013333A" w:rsidP="0013333A">
      <w:pPr>
        <w:pStyle w:val="BodyText"/>
      </w:pPr>
      <w:r>
        <w:t>The success of economic development in</w:t>
      </w:r>
      <w:r w:rsidR="00772D95">
        <w:t>itiat</w:t>
      </w:r>
      <w:r>
        <w:t>ives is</w:t>
      </w:r>
      <w:r w:rsidR="00772D95">
        <w:t xml:space="preserve"> based on </w:t>
      </w:r>
      <w:r w:rsidR="008E044B">
        <w:t xml:space="preserve">efficiently and effectively intervening to </w:t>
      </w:r>
      <w:r w:rsidR="00772D95">
        <w:t>leverage opportunities and attributes of local communities</w:t>
      </w:r>
      <w:r w:rsidR="008E044B">
        <w:t xml:space="preserve"> to generate business growth that is sought by the region and would not occur without intervention</w:t>
      </w:r>
      <w:r w:rsidR="00772D95">
        <w:t xml:space="preserve">. Using this proposition as a starting point we adopted a </w:t>
      </w:r>
      <w:r w:rsidR="00D653EC">
        <w:t xml:space="preserve">subset of the </w:t>
      </w:r>
      <w:r w:rsidR="00990C72">
        <w:t xml:space="preserve">criteria </w:t>
      </w:r>
      <w:r w:rsidR="00D653EC">
        <w:t xml:space="preserve">in the </w:t>
      </w:r>
      <w:r w:rsidR="00E82FFA">
        <w:t>Local Government Act</w:t>
      </w:r>
      <w:r w:rsidR="000D19E2">
        <w:t xml:space="preserve"> </w:t>
      </w:r>
      <w:r w:rsidR="00D653EC">
        <w:t>evalu</w:t>
      </w:r>
      <w:r w:rsidR="004A542A">
        <w:t>a</w:t>
      </w:r>
      <w:r w:rsidR="00D653EC">
        <w:t xml:space="preserve">tion framework </w:t>
      </w:r>
      <w:r w:rsidR="00E82FFA">
        <w:t xml:space="preserve">that are relevant to economic development spending </w:t>
      </w:r>
      <w:r w:rsidR="00D653EC">
        <w:t xml:space="preserve">as the </w:t>
      </w:r>
      <w:r w:rsidR="00E82FFA">
        <w:t xml:space="preserve">basis </w:t>
      </w:r>
      <w:r w:rsidR="00D653EC">
        <w:t xml:space="preserve"> for assessing the </w:t>
      </w:r>
      <w:r w:rsidR="00772D95">
        <w:t>economic development options as follows:</w:t>
      </w:r>
    </w:p>
    <w:p w:rsidR="00772D95" w:rsidRDefault="00772D95" w:rsidP="00772D95">
      <w:pPr>
        <w:pStyle w:val="Bullet"/>
        <w:rPr>
          <w:lang w:val="en-AU"/>
        </w:rPr>
      </w:pPr>
      <w:r>
        <w:rPr>
          <w:lang w:val="en-AU"/>
        </w:rPr>
        <w:t>Efficiency and effectiveness of the delivery of economic development interventions:</w:t>
      </w:r>
    </w:p>
    <w:p w:rsidR="004A542A" w:rsidRPr="003A28A5" w:rsidRDefault="004A542A" w:rsidP="00772D95">
      <w:pPr>
        <w:pStyle w:val="Bullet2ndlevel"/>
        <w:rPr>
          <w:lang w:val="en-AU"/>
        </w:rPr>
      </w:pPr>
      <w:r w:rsidRPr="003A28A5">
        <w:rPr>
          <w:lang w:val="en-AU"/>
        </w:rPr>
        <w:t>Would delivery be more efficient</w:t>
      </w:r>
      <w:r w:rsidR="00BC7884">
        <w:rPr>
          <w:lang w:val="en-AU"/>
        </w:rPr>
        <w:t xml:space="preserve"> (attract more business activity for the same level of resources)</w:t>
      </w:r>
      <w:r w:rsidRPr="003A28A5">
        <w:rPr>
          <w:lang w:val="en-AU"/>
        </w:rPr>
        <w:t>?</w:t>
      </w:r>
    </w:p>
    <w:p w:rsidR="004A542A" w:rsidRPr="003A28A5" w:rsidRDefault="004A542A" w:rsidP="00772D95">
      <w:pPr>
        <w:pStyle w:val="Bullet2ndlevel"/>
        <w:rPr>
          <w:lang w:val="en-AU"/>
        </w:rPr>
      </w:pPr>
      <w:r w:rsidRPr="003A28A5">
        <w:rPr>
          <w:lang w:val="en-AU"/>
        </w:rPr>
        <w:t>Would delivery be more effective</w:t>
      </w:r>
      <w:r w:rsidR="00BC7884">
        <w:rPr>
          <w:lang w:val="en-AU"/>
        </w:rPr>
        <w:t xml:space="preserve"> (deliver activity more closely aligned to the WRS objectives)</w:t>
      </w:r>
      <w:r w:rsidRPr="003A28A5">
        <w:rPr>
          <w:lang w:val="en-AU"/>
        </w:rPr>
        <w:t>?</w:t>
      </w:r>
    </w:p>
    <w:p w:rsidR="006676CA" w:rsidRPr="003A28A5" w:rsidRDefault="006676CA" w:rsidP="006676CA">
      <w:pPr>
        <w:pStyle w:val="Bullet2ndlevel"/>
        <w:rPr>
          <w:lang w:val="en-AU"/>
        </w:rPr>
      </w:pPr>
      <w:r w:rsidRPr="003A28A5">
        <w:rPr>
          <w:lang w:val="en-AU"/>
        </w:rPr>
        <w:t>Would productivity improvements be possible for the local authority(s)?</w:t>
      </w:r>
    </w:p>
    <w:p w:rsidR="00772D95" w:rsidRDefault="00772D95" w:rsidP="00772D95">
      <w:pPr>
        <w:pStyle w:val="Bullet"/>
        <w:rPr>
          <w:lang w:val="en-AU"/>
        </w:rPr>
      </w:pPr>
      <w:r>
        <w:rPr>
          <w:lang w:val="en-AU"/>
        </w:rPr>
        <w:t>Responsiveness to community requirements:</w:t>
      </w:r>
    </w:p>
    <w:p w:rsidR="006676CA" w:rsidRPr="003A28A5" w:rsidRDefault="006676CA" w:rsidP="006676CA">
      <w:pPr>
        <w:pStyle w:val="Bullet2ndlevel"/>
        <w:rPr>
          <w:lang w:val="en-AU"/>
        </w:rPr>
      </w:pPr>
      <w:r w:rsidRPr="003A28A5">
        <w:rPr>
          <w:lang w:val="en-AU"/>
        </w:rPr>
        <w:t>What are the issues currently facing the affected area</w:t>
      </w:r>
      <w:r w:rsidR="00BC7884">
        <w:rPr>
          <w:lang w:val="en-AU"/>
        </w:rPr>
        <w:t xml:space="preserve"> </w:t>
      </w:r>
      <w:r w:rsidRPr="003A28A5">
        <w:rPr>
          <w:lang w:val="en-AU"/>
        </w:rPr>
        <w:t>?</w:t>
      </w:r>
    </w:p>
    <w:p w:rsidR="006676CA" w:rsidRPr="003A28A5" w:rsidRDefault="006676CA" w:rsidP="006676CA">
      <w:pPr>
        <w:pStyle w:val="Bullet2ndlevel"/>
        <w:rPr>
          <w:lang w:val="en-AU"/>
        </w:rPr>
      </w:pPr>
      <w:r w:rsidRPr="003A28A5">
        <w:rPr>
          <w:lang w:val="en-AU"/>
        </w:rPr>
        <w:t>What are the issues that the communities of the affected area must address in the future?</w:t>
      </w:r>
    </w:p>
    <w:p w:rsidR="006676CA" w:rsidRPr="003A28A5" w:rsidRDefault="006676CA" w:rsidP="006676CA">
      <w:pPr>
        <w:pStyle w:val="Bullet2ndlevel"/>
        <w:rPr>
          <w:lang w:val="en-AU"/>
        </w:rPr>
      </w:pPr>
      <w:r w:rsidRPr="003A28A5">
        <w:rPr>
          <w:lang w:val="en-AU"/>
        </w:rPr>
        <w:t>To what extent are the issues able to be addressed / being addressed under the status quo?</w:t>
      </w:r>
    </w:p>
    <w:p w:rsidR="00D97346" w:rsidRDefault="006676CA" w:rsidP="006676CA">
      <w:pPr>
        <w:pStyle w:val="Bullet2ndlevel"/>
        <w:rPr>
          <w:lang w:val="en-AU"/>
        </w:rPr>
      </w:pPr>
      <w:r w:rsidRPr="003A28A5">
        <w:rPr>
          <w:lang w:val="en-AU"/>
        </w:rPr>
        <w:t>To what extent could they be better addressed under each option?</w:t>
      </w:r>
    </w:p>
    <w:p w:rsidR="00990C72" w:rsidRDefault="001C2E8F" w:rsidP="00990C72">
      <w:pPr>
        <w:pStyle w:val="BodyText"/>
      </w:pPr>
      <w:r>
        <w:t>We use these criteria to consider t</w:t>
      </w:r>
      <w:r w:rsidR="00A66124">
        <w:t>hree</w:t>
      </w:r>
      <w:r>
        <w:t xml:space="preserve"> over-arching questions </w:t>
      </w:r>
      <w:r w:rsidR="00B03593">
        <w:t xml:space="preserve">about the </w:t>
      </w:r>
      <w:r w:rsidR="00A66124">
        <w:t>success of local council economic development spending</w:t>
      </w:r>
      <w:r>
        <w:t>:</w:t>
      </w:r>
    </w:p>
    <w:p w:rsidR="00A66124" w:rsidRDefault="00A66124" w:rsidP="001C2E8F">
      <w:pPr>
        <w:pStyle w:val="Bullet"/>
      </w:pPr>
      <w:r>
        <w:t>Are their objectives sufficiently clearly defined and independent to avoid duplication of effort or intra-regional competition for business opportunities?</w:t>
      </w:r>
    </w:p>
    <w:p w:rsidR="001C2E8F" w:rsidRDefault="001C2E8F" w:rsidP="00A66124">
      <w:pPr>
        <w:pStyle w:val="Bullet"/>
        <w:rPr>
          <w:lang w:val="en-AU"/>
        </w:rPr>
      </w:pPr>
      <w:r>
        <w:t>Do they have sufficient scale and scope to</w:t>
      </w:r>
      <w:r w:rsidR="00E82FFA">
        <w:t xml:space="preserve"> s</w:t>
      </w:r>
      <w:r w:rsidR="00CB054C" w:rsidRPr="00E82FFA">
        <w:rPr>
          <w:lang w:val="en-AU"/>
        </w:rPr>
        <w:t>successfully</w:t>
      </w:r>
      <w:r w:rsidR="00A66124" w:rsidRPr="00E82FFA">
        <w:rPr>
          <w:lang w:val="en-AU"/>
        </w:rPr>
        <w:t xml:space="preserve"> </w:t>
      </w:r>
      <w:r w:rsidRPr="00E82FFA">
        <w:rPr>
          <w:lang w:val="en-AU"/>
        </w:rPr>
        <w:t>intervene to secure business growth opportunities that are sought by their region</w:t>
      </w:r>
      <w:r w:rsidR="00E82FFA">
        <w:rPr>
          <w:lang w:val="en-AU"/>
        </w:rPr>
        <w:t>?</w:t>
      </w:r>
    </w:p>
    <w:p w:rsidR="00B03593" w:rsidRPr="00E82FFA" w:rsidRDefault="00E82FFA" w:rsidP="00A66124">
      <w:pPr>
        <w:pStyle w:val="Bullet"/>
        <w:rPr>
          <w:lang w:val="en-AU"/>
        </w:rPr>
      </w:pPr>
      <w:r>
        <w:t>Do they have sufficient scale and scope to s</w:t>
      </w:r>
      <w:r w:rsidR="00CB054C" w:rsidRPr="00E82FFA">
        <w:rPr>
          <w:lang w:val="en-AU"/>
        </w:rPr>
        <w:t>successfully</w:t>
      </w:r>
      <w:r w:rsidRPr="00E82FFA">
        <w:rPr>
          <w:lang w:val="en-AU"/>
        </w:rPr>
        <w:t xml:space="preserve"> </w:t>
      </w:r>
      <w:r w:rsidR="001C2E8F" w:rsidRPr="00E82FFA">
        <w:rPr>
          <w:lang w:val="en-AU"/>
        </w:rPr>
        <w:t xml:space="preserve">partner with </w:t>
      </w:r>
      <w:r w:rsidR="00B03593" w:rsidRPr="00E82FFA">
        <w:rPr>
          <w:lang w:val="en-AU"/>
        </w:rPr>
        <w:t xml:space="preserve">government agencies and private sector organisations to secure co-funding of business </w:t>
      </w:r>
      <w:r w:rsidR="00CB054C" w:rsidRPr="00E82FFA">
        <w:rPr>
          <w:lang w:val="en-AU"/>
        </w:rPr>
        <w:t>initiatives?</w:t>
      </w:r>
    </w:p>
    <w:p w:rsidR="00325C43" w:rsidRPr="001E584D" w:rsidRDefault="009456F4" w:rsidP="00922AE1">
      <w:pPr>
        <w:pStyle w:val="Heading1"/>
      </w:pPr>
      <w:bookmarkStart w:id="9" w:name="_Toc397342139"/>
      <w:r>
        <w:lastRenderedPageBreak/>
        <w:t>Current situation</w:t>
      </w:r>
      <w:bookmarkEnd w:id="9"/>
    </w:p>
    <w:p w:rsidR="009456F4" w:rsidRDefault="009456F4" w:rsidP="009456F4">
      <w:pPr>
        <w:pStyle w:val="Heading2"/>
      </w:pPr>
      <w:bookmarkStart w:id="10" w:name="_Toc397342140"/>
      <w:r>
        <w:t>Economic development arrangements</w:t>
      </w:r>
      <w:bookmarkEnd w:id="10"/>
    </w:p>
    <w:p w:rsidR="00B03593" w:rsidRDefault="00B03593" w:rsidP="001D4391">
      <w:pPr>
        <w:pStyle w:val="BodyText"/>
      </w:pPr>
      <w:r>
        <w:t>Local government support of economic development is delivered through two channels in the Wellington region:</w:t>
      </w:r>
    </w:p>
    <w:p w:rsidR="00B03593" w:rsidRDefault="00067DBD" w:rsidP="00B03593">
      <w:pPr>
        <w:pStyle w:val="Bullet"/>
      </w:pPr>
      <w:r>
        <w:t xml:space="preserve">regional </w:t>
      </w:r>
      <w:r w:rsidR="00A66124">
        <w:t>i</w:t>
      </w:r>
      <w:r w:rsidR="00B03593">
        <w:t xml:space="preserve">mplementation of the Wellington Regional Strategy </w:t>
      </w:r>
      <w:r w:rsidR="00C324D9">
        <w:t xml:space="preserve">(WRS) </w:t>
      </w:r>
      <w:r w:rsidR="00B03593">
        <w:t>through Grow Welli</w:t>
      </w:r>
      <w:r w:rsidR="00CF4D24">
        <w:t xml:space="preserve">ngton funded by a regional rate </w:t>
      </w:r>
      <w:r w:rsidR="00A66124">
        <w:t>augmented by central government fundi</w:t>
      </w:r>
      <w:r w:rsidR="00CF4D24">
        <w:t>ng</w:t>
      </w:r>
    </w:p>
    <w:p w:rsidR="008E044B" w:rsidRDefault="008E044B" w:rsidP="001D4391">
      <w:pPr>
        <w:pStyle w:val="Bullet"/>
      </w:pPr>
      <w:r>
        <w:t xml:space="preserve">business development spending by </w:t>
      </w:r>
      <w:r w:rsidR="00067DBD">
        <w:t>individual council</w:t>
      </w:r>
      <w:r>
        <w:t xml:space="preserve">s within their boundaries </w:t>
      </w:r>
      <w:r w:rsidR="00A66124">
        <w:t xml:space="preserve">generally </w:t>
      </w:r>
      <w:r w:rsidR="00B03593">
        <w:t>funded by their own rates</w:t>
      </w:r>
      <w:r>
        <w:t>.</w:t>
      </w:r>
    </w:p>
    <w:p w:rsidR="00962D40" w:rsidRDefault="008E044B" w:rsidP="008E044B">
      <w:pPr>
        <w:pStyle w:val="BodyText"/>
      </w:pPr>
      <w:r>
        <w:t xml:space="preserve">Currently business development spending by councils within their boundaries </w:t>
      </w:r>
      <w:r w:rsidR="00067DBD">
        <w:t xml:space="preserve">dominates the spending </w:t>
      </w:r>
      <w:r>
        <w:t>to implement the WRS</w:t>
      </w:r>
      <w:r w:rsidR="00067DBD">
        <w:t>.</w:t>
      </w:r>
      <w:r w:rsidR="00BC7884">
        <w:t xml:space="preserve"> (Council long term plans indicate </w:t>
      </w:r>
      <w:r w:rsidR="002F7E5F">
        <w:t xml:space="preserve">council operational </w:t>
      </w:r>
      <w:r w:rsidR="00BC7884">
        <w:t xml:space="preserve">economic development </w:t>
      </w:r>
      <w:r w:rsidR="002F7E5F">
        <w:t xml:space="preserve">funding </w:t>
      </w:r>
      <w:r w:rsidR="00BC7884">
        <w:t xml:space="preserve">of about </w:t>
      </w:r>
      <w:r w:rsidR="002F7E5F">
        <w:t>$33 million per year. Of this total about $4 million is spent by Grow Wellington on the regionally focused of WRS. Business development spending by some of the other councils may have regional spill-over effects.)</w:t>
      </w:r>
    </w:p>
    <w:p w:rsidR="00155FC5" w:rsidRDefault="005F5881" w:rsidP="00155FC5">
      <w:pPr>
        <w:pStyle w:val="BodyText"/>
      </w:pPr>
      <w:r>
        <w:t>Wellington City Council is the main funder of economic development ac</w:t>
      </w:r>
      <w:r w:rsidR="00923917">
        <w:t xml:space="preserve">tivity in the region with both an operational and capital budget for economic development. </w:t>
      </w:r>
      <w:r w:rsidR="00155FC5">
        <w:t>(In addition to the operational spending Wellington City Council has identified approximately $16 million of capital funding over the next 10 years. We have not identified capital expenditure allocations by the other councils. However the Hutt City Council listed a number of projects and funds for the 2012 financial year.)</w:t>
      </w:r>
    </w:p>
    <w:p w:rsidR="005F5881" w:rsidRDefault="00923917" w:rsidP="001D4391">
      <w:pPr>
        <w:pStyle w:val="BodyText"/>
      </w:pPr>
      <w:r>
        <w:t xml:space="preserve">The other </w:t>
      </w:r>
      <w:r w:rsidR="00962D40">
        <w:t>c</w:t>
      </w:r>
      <w:r w:rsidR="005F5881">
        <w:t>ouncils support economic development primarily through operational spending on advisory staff and resources.</w:t>
      </w:r>
      <w:r w:rsidR="00155FC5">
        <w:t xml:space="preserve"> </w:t>
      </w:r>
      <w:r w:rsidR="00C100A3">
        <w:t>S</w:t>
      </w:r>
      <w:r w:rsidR="00155FC5">
        <w:t xml:space="preserve">ome </w:t>
      </w:r>
      <w:r w:rsidR="00C100A3">
        <w:t xml:space="preserve">of these </w:t>
      </w:r>
      <w:r w:rsidR="00155FC5">
        <w:t xml:space="preserve">councils also either </w:t>
      </w:r>
      <w:r w:rsidR="00C100A3">
        <w:t xml:space="preserve">offer </w:t>
      </w:r>
      <w:r w:rsidR="00155FC5">
        <w:t xml:space="preserve">some of this funding </w:t>
      </w:r>
      <w:r w:rsidR="00C100A3">
        <w:t xml:space="preserve">as grants </w:t>
      </w:r>
      <w:r w:rsidR="008E044B">
        <w:t>o</w:t>
      </w:r>
      <w:r w:rsidR="00C100A3">
        <w:t>r budget separately for rates remission for some types of business development.</w:t>
      </w:r>
    </w:p>
    <w:p w:rsidR="00C529D7" w:rsidRDefault="00923917" w:rsidP="001D4391">
      <w:pPr>
        <w:pStyle w:val="BodyText"/>
      </w:pPr>
      <w:r>
        <w:t>T</w:t>
      </w:r>
      <w:r w:rsidR="006676CA">
        <w:t xml:space="preserve">he following table </w:t>
      </w:r>
      <w:r w:rsidR="00C100A3">
        <w:t xml:space="preserve">is based on the long term plan for each council and </w:t>
      </w:r>
      <w:r w:rsidR="006676CA">
        <w:t xml:space="preserve">lists the projected operational spending on economic development and the focus of that spending for each of the councils in the region as stated in their </w:t>
      </w:r>
      <w:r w:rsidR="005F5881">
        <w:t>long term plan</w:t>
      </w:r>
      <w:r>
        <w:t>.</w:t>
      </w:r>
    </w:p>
    <w:p w:rsidR="00A66124" w:rsidRDefault="00A66124" w:rsidP="001D4391">
      <w:pPr>
        <w:pStyle w:val="BodyText"/>
      </w:pPr>
      <w:r>
        <w:t>As can be seen from the table:</w:t>
      </w:r>
    </w:p>
    <w:p w:rsidR="00D154B8" w:rsidRDefault="007F3B33" w:rsidP="00F1023E">
      <w:pPr>
        <w:pStyle w:val="Bullet"/>
      </w:pPr>
      <w:r>
        <w:t>spending on region-wide activities is less than</w:t>
      </w:r>
      <w:r w:rsidR="006E6886">
        <w:t xml:space="preserve"> </w:t>
      </w:r>
      <w:r w:rsidR="008E044B">
        <w:t>one fifth</w:t>
      </w:r>
      <w:r w:rsidR="00356A70">
        <w:rPr>
          <w:rStyle w:val="FootnoteReference"/>
        </w:rPr>
        <w:footnoteReference w:id="1"/>
      </w:r>
      <w:r w:rsidR="008E044B">
        <w:t xml:space="preserve"> of </w:t>
      </w:r>
      <w:r w:rsidR="006E6886">
        <w:t>local council spending</w:t>
      </w:r>
    </w:p>
    <w:p w:rsidR="00C100A3" w:rsidRDefault="00F1023E" w:rsidP="00F1023E">
      <w:pPr>
        <w:pStyle w:val="Bullet"/>
      </w:pPr>
      <w:r>
        <w:t>the purpose of the business development spending is similar for all councils and usually includes tourism promotion and advice to local business and incentives to attract business</w:t>
      </w:r>
    </w:p>
    <w:p w:rsidR="00356A70" w:rsidRDefault="00F1023E" w:rsidP="00F1023E">
      <w:pPr>
        <w:pStyle w:val="Bullet"/>
      </w:pPr>
      <w:r>
        <w:t xml:space="preserve">is generally not directly linked to co-funding from either government </w:t>
      </w:r>
      <w:r w:rsidR="003F62B4">
        <w:t>or private sector organisations.</w:t>
      </w:r>
    </w:p>
    <w:p w:rsidR="00356A70" w:rsidRDefault="00356A70">
      <w:pPr>
        <w:spacing w:line="240" w:lineRule="auto"/>
        <w:rPr>
          <w:sz w:val="22"/>
          <w:szCs w:val="22"/>
        </w:rPr>
      </w:pPr>
    </w:p>
    <w:p w:rsidR="001D4391" w:rsidRPr="00D42C90" w:rsidRDefault="001D4391" w:rsidP="001C2E8F">
      <w:pPr>
        <w:pStyle w:val="Caption"/>
      </w:pPr>
      <w:bookmarkStart w:id="11" w:name="_Toc397342149"/>
      <w:r>
        <w:lastRenderedPageBreak/>
        <w:t xml:space="preserve">Table </w:t>
      </w:r>
      <w:r w:rsidR="009B125D">
        <w:fldChar w:fldCharType="begin"/>
      </w:r>
      <w:r w:rsidR="009B125D">
        <w:instrText xml:space="preserve"> SEQ Table \* ARABIC </w:instrText>
      </w:r>
      <w:r w:rsidR="009B125D">
        <w:fldChar w:fldCharType="separate"/>
      </w:r>
      <w:r>
        <w:rPr>
          <w:noProof/>
        </w:rPr>
        <w:t>1</w:t>
      </w:r>
      <w:r w:rsidR="009B125D">
        <w:rPr>
          <w:noProof/>
        </w:rPr>
        <w:fldChar w:fldCharType="end"/>
      </w:r>
      <w:r>
        <w:t xml:space="preserve"> </w:t>
      </w:r>
      <w:r w:rsidR="005F5881">
        <w:t>Economic development budget</w:t>
      </w:r>
      <w:bookmarkEnd w:id="11"/>
    </w:p>
    <w:p w:rsidR="001D4391" w:rsidRDefault="003F62B4" w:rsidP="001C2E8F">
      <w:pPr>
        <w:pStyle w:val="Tablesubheading"/>
      </w:pPr>
      <w:r>
        <w:t>Council o</w:t>
      </w:r>
      <w:r w:rsidR="005F5881">
        <w:t>perational budget for the year ended 30 June 2014 ($000)</w:t>
      </w:r>
    </w:p>
    <w:tbl>
      <w:tblPr>
        <w:tblStyle w:val="NZIERTable"/>
        <w:tblW w:w="0" w:type="auto"/>
        <w:tblLook w:val="04A0" w:firstRow="1" w:lastRow="0" w:firstColumn="1" w:lastColumn="0" w:noHBand="0" w:noVBand="1"/>
      </w:tblPr>
      <w:tblGrid>
        <w:gridCol w:w="1397"/>
        <w:gridCol w:w="1134"/>
        <w:gridCol w:w="1134"/>
        <w:gridCol w:w="3969"/>
      </w:tblGrid>
      <w:tr w:rsidR="00863012" w:rsidRPr="00E6399E" w:rsidTr="00863012">
        <w:trPr>
          <w:cnfStyle w:val="100000000000" w:firstRow="1" w:lastRow="0" w:firstColumn="0" w:lastColumn="0" w:oddVBand="0" w:evenVBand="0" w:oddHBand="0" w:evenHBand="0" w:firstRowFirstColumn="0" w:firstRowLastColumn="0" w:lastRowFirstColumn="0" w:lastRowLastColumn="0"/>
        </w:trPr>
        <w:tc>
          <w:tcPr>
            <w:tcW w:w="1397" w:type="dxa"/>
          </w:tcPr>
          <w:p w:rsidR="00863012" w:rsidRPr="004D7536" w:rsidRDefault="00863012" w:rsidP="001C2E8F">
            <w:pPr>
              <w:rPr>
                <w:rFonts w:cstheme="minorHAnsi"/>
                <w:b/>
                <w:szCs w:val="18"/>
              </w:rPr>
            </w:pPr>
            <w:r>
              <w:rPr>
                <w:rFonts w:cstheme="minorHAnsi"/>
                <w:b/>
                <w:szCs w:val="18"/>
              </w:rPr>
              <w:t>Council</w:t>
            </w:r>
          </w:p>
        </w:tc>
        <w:tc>
          <w:tcPr>
            <w:tcW w:w="1134" w:type="dxa"/>
          </w:tcPr>
          <w:p w:rsidR="00863012" w:rsidRPr="004D7536" w:rsidRDefault="00863012" w:rsidP="005F5881">
            <w:pPr>
              <w:rPr>
                <w:rFonts w:cstheme="minorHAnsi"/>
                <w:b/>
                <w:szCs w:val="18"/>
              </w:rPr>
            </w:pPr>
            <w:r>
              <w:rPr>
                <w:rFonts w:cstheme="minorHAnsi"/>
                <w:b/>
                <w:szCs w:val="18"/>
              </w:rPr>
              <w:t xml:space="preserve">Operational </w:t>
            </w:r>
          </w:p>
        </w:tc>
        <w:tc>
          <w:tcPr>
            <w:tcW w:w="1134" w:type="dxa"/>
          </w:tcPr>
          <w:p w:rsidR="00863012" w:rsidRDefault="00863012" w:rsidP="001C2E8F">
            <w:pPr>
              <w:rPr>
                <w:rFonts w:cstheme="minorHAnsi"/>
                <w:b/>
                <w:szCs w:val="18"/>
              </w:rPr>
            </w:pPr>
            <w:r>
              <w:rPr>
                <w:rFonts w:cstheme="minorHAnsi"/>
                <w:b/>
                <w:szCs w:val="18"/>
              </w:rPr>
              <w:t>Co-funding</w:t>
            </w:r>
          </w:p>
        </w:tc>
        <w:tc>
          <w:tcPr>
            <w:tcW w:w="3969" w:type="dxa"/>
          </w:tcPr>
          <w:p w:rsidR="00863012" w:rsidRPr="004D7536" w:rsidRDefault="00863012" w:rsidP="001C2E8F">
            <w:pPr>
              <w:rPr>
                <w:rFonts w:cstheme="minorHAnsi"/>
                <w:b/>
                <w:szCs w:val="18"/>
              </w:rPr>
            </w:pPr>
            <w:r>
              <w:rPr>
                <w:rFonts w:cstheme="minorHAnsi"/>
                <w:b/>
                <w:szCs w:val="18"/>
              </w:rPr>
              <w:t>Council activities</w:t>
            </w:r>
          </w:p>
        </w:tc>
      </w:tr>
      <w:tr w:rsidR="00863012" w:rsidRPr="00E163F2" w:rsidTr="00863012">
        <w:tc>
          <w:tcPr>
            <w:tcW w:w="1397" w:type="dxa"/>
          </w:tcPr>
          <w:p w:rsidR="00863012" w:rsidRPr="00F90AA7" w:rsidRDefault="00863012" w:rsidP="00923917">
            <w:pPr>
              <w:pStyle w:val="Tabletext"/>
            </w:pPr>
            <w:r>
              <w:t xml:space="preserve">Wellington  City </w:t>
            </w:r>
          </w:p>
        </w:tc>
        <w:tc>
          <w:tcPr>
            <w:tcW w:w="1134" w:type="dxa"/>
          </w:tcPr>
          <w:p w:rsidR="00863012" w:rsidRPr="00F90AA7" w:rsidRDefault="00863012" w:rsidP="00923917">
            <w:pPr>
              <w:pStyle w:val="Tabletext"/>
              <w:jc w:val="right"/>
            </w:pPr>
            <w:r>
              <w:t>19,805</w:t>
            </w:r>
          </w:p>
        </w:tc>
        <w:tc>
          <w:tcPr>
            <w:tcW w:w="1134" w:type="dxa"/>
          </w:tcPr>
          <w:p w:rsidR="00863012" w:rsidRDefault="00AA7373" w:rsidP="00AA7373">
            <w:pPr>
              <w:pStyle w:val="Tabletext"/>
            </w:pPr>
            <w:r>
              <w:t>Some co-funding for tourism promotion</w:t>
            </w:r>
          </w:p>
        </w:tc>
        <w:tc>
          <w:tcPr>
            <w:tcW w:w="3969" w:type="dxa"/>
          </w:tcPr>
          <w:p w:rsidR="00AA7373" w:rsidRDefault="00AA7373" w:rsidP="00923917">
            <w:pPr>
              <w:pStyle w:val="Tabletext"/>
            </w:pPr>
            <w:r>
              <w:t>Business development advice and support</w:t>
            </w:r>
          </w:p>
          <w:p w:rsidR="00863012" w:rsidRDefault="00863012" w:rsidP="00923917">
            <w:pPr>
              <w:pStyle w:val="Tabletext"/>
            </w:pPr>
            <w:r>
              <w:t>Partnership Wellington Trust – tourism promotion</w:t>
            </w:r>
          </w:p>
          <w:p w:rsidR="00863012" w:rsidRDefault="00863012" w:rsidP="00923917">
            <w:pPr>
              <w:pStyle w:val="Tabletext"/>
            </w:pPr>
            <w:r>
              <w:t xml:space="preserve">WCC Events Team – attracting events that promote tourism visits </w:t>
            </w:r>
          </w:p>
          <w:p w:rsidR="00863012" w:rsidRPr="00F90AA7" w:rsidRDefault="00863012" w:rsidP="00923917">
            <w:pPr>
              <w:pStyle w:val="Tabletext"/>
            </w:pPr>
            <w:r>
              <w:t xml:space="preserve">Wellington Venues Ltd – attracting businesses </w:t>
            </w:r>
          </w:p>
        </w:tc>
      </w:tr>
      <w:tr w:rsidR="00863012" w:rsidRPr="00E163F2" w:rsidTr="00863012">
        <w:tc>
          <w:tcPr>
            <w:tcW w:w="1397" w:type="dxa"/>
          </w:tcPr>
          <w:p w:rsidR="00863012" w:rsidRPr="00F90AA7" w:rsidRDefault="00863012" w:rsidP="00F90AA7">
            <w:pPr>
              <w:pStyle w:val="Tabletext"/>
            </w:pPr>
            <w:r>
              <w:t xml:space="preserve">Hutt City </w:t>
            </w:r>
          </w:p>
        </w:tc>
        <w:tc>
          <w:tcPr>
            <w:tcW w:w="1134" w:type="dxa"/>
          </w:tcPr>
          <w:p w:rsidR="00863012" w:rsidRPr="00F90AA7" w:rsidRDefault="00863012" w:rsidP="007032AE">
            <w:pPr>
              <w:pStyle w:val="Tabletext"/>
              <w:jc w:val="right"/>
            </w:pPr>
            <w:r>
              <w:t>3,330</w:t>
            </w:r>
          </w:p>
        </w:tc>
        <w:tc>
          <w:tcPr>
            <w:tcW w:w="1134" w:type="dxa"/>
          </w:tcPr>
          <w:p w:rsidR="00863012" w:rsidRDefault="00AA7373" w:rsidP="00923917">
            <w:pPr>
              <w:pStyle w:val="Tabletext"/>
            </w:pPr>
            <w:r>
              <w:t>Not material</w:t>
            </w:r>
          </w:p>
        </w:tc>
        <w:tc>
          <w:tcPr>
            <w:tcW w:w="3969" w:type="dxa"/>
          </w:tcPr>
          <w:p w:rsidR="00863012" w:rsidRDefault="00863012" w:rsidP="00923917">
            <w:pPr>
              <w:pStyle w:val="Tabletext"/>
            </w:pPr>
            <w:r>
              <w:t>E</w:t>
            </w:r>
            <w:r w:rsidRPr="00923917">
              <w:t>xpansion and creation of local businesses and employment</w:t>
            </w:r>
          </w:p>
          <w:p w:rsidR="00863012" w:rsidRDefault="00863012" w:rsidP="00923917">
            <w:pPr>
              <w:pStyle w:val="Tabletext"/>
            </w:pPr>
            <w:r>
              <w:t>I</w:t>
            </w:r>
            <w:r w:rsidRPr="00923917">
              <w:t>ncreasing tourism and events in Hutt City</w:t>
            </w:r>
          </w:p>
          <w:p w:rsidR="00863012" w:rsidRPr="00F90AA7" w:rsidRDefault="00863012" w:rsidP="007032AE">
            <w:pPr>
              <w:pStyle w:val="Tabletext"/>
            </w:pPr>
            <w:r>
              <w:t>(Supported by rates remission for business development projects in the CBD.)</w:t>
            </w:r>
          </w:p>
        </w:tc>
      </w:tr>
      <w:tr w:rsidR="00863012" w:rsidRPr="00E163F2" w:rsidTr="00863012">
        <w:tc>
          <w:tcPr>
            <w:tcW w:w="1397" w:type="dxa"/>
          </w:tcPr>
          <w:p w:rsidR="00863012" w:rsidRPr="00F90AA7" w:rsidRDefault="00863012" w:rsidP="00F90AA7">
            <w:pPr>
              <w:pStyle w:val="Tabletext"/>
            </w:pPr>
            <w:r>
              <w:t>Upper Hutt</w:t>
            </w:r>
          </w:p>
        </w:tc>
        <w:tc>
          <w:tcPr>
            <w:tcW w:w="1134" w:type="dxa"/>
          </w:tcPr>
          <w:p w:rsidR="00863012" w:rsidRPr="00F90AA7" w:rsidRDefault="00863012" w:rsidP="007032AE">
            <w:pPr>
              <w:pStyle w:val="Tabletext"/>
              <w:jc w:val="right"/>
            </w:pPr>
            <w:r>
              <w:t>949</w:t>
            </w:r>
          </w:p>
        </w:tc>
        <w:tc>
          <w:tcPr>
            <w:tcW w:w="1134" w:type="dxa"/>
          </w:tcPr>
          <w:p w:rsidR="00863012" w:rsidRDefault="00AA7373" w:rsidP="007032AE">
            <w:pPr>
              <w:pStyle w:val="Tabletext"/>
            </w:pPr>
            <w:r>
              <w:t>Not material</w:t>
            </w:r>
          </w:p>
        </w:tc>
        <w:tc>
          <w:tcPr>
            <w:tcW w:w="3969" w:type="dxa"/>
          </w:tcPr>
          <w:p w:rsidR="00863012" w:rsidRDefault="00863012" w:rsidP="007032AE">
            <w:pPr>
              <w:pStyle w:val="Tabletext"/>
            </w:pPr>
            <w:r>
              <w:t>Business liaison and information to retain businesses</w:t>
            </w:r>
          </w:p>
          <w:p w:rsidR="00863012" w:rsidRDefault="00863012" w:rsidP="007032AE">
            <w:pPr>
              <w:pStyle w:val="Tabletext"/>
            </w:pPr>
            <w:r>
              <w:t>E</w:t>
            </w:r>
            <w:r w:rsidRPr="00923917">
              <w:t>xpansion and creation of local businesses and employment</w:t>
            </w:r>
          </w:p>
          <w:p w:rsidR="00863012" w:rsidRPr="00F90AA7" w:rsidRDefault="00863012" w:rsidP="00DD5343">
            <w:pPr>
              <w:pStyle w:val="Tabletext"/>
            </w:pPr>
            <w:r>
              <w:t xml:space="preserve">Promoting </w:t>
            </w:r>
            <w:r w:rsidRPr="00923917">
              <w:t xml:space="preserve">tourism and events in </w:t>
            </w:r>
            <w:r>
              <w:t>Upper Hutt</w:t>
            </w:r>
          </w:p>
        </w:tc>
      </w:tr>
      <w:tr w:rsidR="00863012" w:rsidRPr="00E163F2" w:rsidTr="00863012">
        <w:tc>
          <w:tcPr>
            <w:tcW w:w="1397" w:type="dxa"/>
          </w:tcPr>
          <w:p w:rsidR="00863012" w:rsidRPr="00F90AA7" w:rsidRDefault="00863012" w:rsidP="00F90AA7">
            <w:pPr>
              <w:pStyle w:val="Tabletext"/>
            </w:pPr>
            <w:r>
              <w:t>Porirua</w:t>
            </w:r>
          </w:p>
        </w:tc>
        <w:tc>
          <w:tcPr>
            <w:tcW w:w="1134" w:type="dxa"/>
          </w:tcPr>
          <w:p w:rsidR="00863012" w:rsidRPr="00F90AA7" w:rsidRDefault="00863012" w:rsidP="007032AE">
            <w:pPr>
              <w:pStyle w:val="Tabletext"/>
              <w:jc w:val="right"/>
            </w:pPr>
            <w:r>
              <w:t>2,125</w:t>
            </w:r>
          </w:p>
        </w:tc>
        <w:tc>
          <w:tcPr>
            <w:tcW w:w="1134" w:type="dxa"/>
          </w:tcPr>
          <w:p w:rsidR="00863012" w:rsidRDefault="00AA7373" w:rsidP="00EF7FC7">
            <w:pPr>
              <w:pStyle w:val="Tabletext"/>
            </w:pPr>
            <w:r>
              <w:t>Not material</w:t>
            </w:r>
          </w:p>
        </w:tc>
        <w:tc>
          <w:tcPr>
            <w:tcW w:w="3969" w:type="dxa"/>
          </w:tcPr>
          <w:p w:rsidR="00863012" w:rsidRPr="00F90AA7" w:rsidRDefault="00863012" w:rsidP="00EF7FC7">
            <w:pPr>
              <w:pStyle w:val="Tabletext"/>
            </w:pPr>
            <w:r>
              <w:t>M</w:t>
            </w:r>
            <w:r w:rsidRPr="00EF7FC7">
              <w:t>anagement of the i-SITE Porirua Visitor Information Centre, the Sister</w:t>
            </w:r>
            <w:r>
              <w:t xml:space="preserve"> </w:t>
            </w:r>
            <w:r w:rsidRPr="00EF7FC7">
              <w:t>Cities programme, the Council's Economic Development Strategy, marketing in line with</w:t>
            </w:r>
            <w:r>
              <w:t xml:space="preserve"> </w:t>
            </w:r>
            <w:r w:rsidRPr="00EF7FC7">
              <w:t>Visitor and Events strategies, and maintaining a strong working relationship with the</w:t>
            </w:r>
            <w:r>
              <w:t xml:space="preserve"> </w:t>
            </w:r>
            <w:r w:rsidRPr="00EF7FC7">
              <w:t>Chamber of Commerce.</w:t>
            </w:r>
          </w:p>
        </w:tc>
      </w:tr>
      <w:tr w:rsidR="00863012" w:rsidRPr="00E163F2" w:rsidTr="00863012">
        <w:tc>
          <w:tcPr>
            <w:tcW w:w="1397" w:type="dxa"/>
          </w:tcPr>
          <w:p w:rsidR="00863012" w:rsidRPr="00F90AA7" w:rsidRDefault="00863012" w:rsidP="00F90AA7">
            <w:pPr>
              <w:pStyle w:val="Tabletext"/>
            </w:pPr>
            <w:r>
              <w:t>Kapiti Coast</w:t>
            </w:r>
          </w:p>
        </w:tc>
        <w:tc>
          <w:tcPr>
            <w:tcW w:w="1134" w:type="dxa"/>
          </w:tcPr>
          <w:p w:rsidR="00863012" w:rsidRPr="00F90AA7" w:rsidRDefault="00797BA0" w:rsidP="007032AE">
            <w:pPr>
              <w:pStyle w:val="Tabletext"/>
              <w:jc w:val="right"/>
            </w:pPr>
            <w:r>
              <w:t>1,334</w:t>
            </w:r>
          </w:p>
        </w:tc>
        <w:tc>
          <w:tcPr>
            <w:tcW w:w="1134" w:type="dxa"/>
          </w:tcPr>
          <w:p w:rsidR="00863012" w:rsidRPr="00B40C6D" w:rsidRDefault="00AA7373" w:rsidP="00B40C6D">
            <w:pPr>
              <w:pStyle w:val="Tabletext"/>
            </w:pPr>
            <w:r>
              <w:t>Not material</w:t>
            </w:r>
          </w:p>
        </w:tc>
        <w:tc>
          <w:tcPr>
            <w:tcW w:w="3969" w:type="dxa"/>
          </w:tcPr>
          <w:p w:rsidR="00863012" w:rsidRDefault="00863012" w:rsidP="00B40C6D">
            <w:pPr>
              <w:pStyle w:val="Tabletext"/>
            </w:pPr>
            <w:r w:rsidRPr="00B40C6D">
              <w:t>Funds</w:t>
            </w:r>
            <w:r>
              <w:t xml:space="preserve"> </w:t>
            </w:r>
            <w:r w:rsidRPr="00B40C6D">
              <w:t>direct services to support business development</w:t>
            </w:r>
            <w:r>
              <w:t xml:space="preserve"> </w:t>
            </w:r>
            <w:r w:rsidRPr="00B40C6D">
              <w:t>and retention, wider economic analysis and</w:t>
            </w:r>
            <w:r>
              <w:t xml:space="preserve"> </w:t>
            </w:r>
            <w:r w:rsidRPr="00B40C6D">
              <w:t>opportunities for development of a new economic</w:t>
            </w:r>
            <w:r>
              <w:t xml:space="preserve"> </w:t>
            </w:r>
            <w:r w:rsidRPr="00B40C6D">
              <w:t>focus.</w:t>
            </w:r>
          </w:p>
          <w:p w:rsidR="00863012" w:rsidRPr="00F90AA7" w:rsidRDefault="003F62B4" w:rsidP="003F62B4">
            <w:pPr>
              <w:pStyle w:val="Tabletext"/>
            </w:pPr>
            <w:r>
              <w:t>T</w:t>
            </w:r>
            <w:r w:rsidR="00863012" w:rsidRPr="00C529D7">
              <w:t>ourism support services, including iSITE</w:t>
            </w:r>
            <w:r w:rsidR="00863012">
              <w:t xml:space="preserve"> </w:t>
            </w:r>
            <w:r w:rsidR="00863012" w:rsidRPr="00C529D7">
              <w:t>management and business support</w:t>
            </w:r>
            <w:r w:rsidR="00863012">
              <w:t xml:space="preserve"> </w:t>
            </w:r>
            <w:r w:rsidR="00863012" w:rsidRPr="00C529D7">
              <w:t>services</w:t>
            </w:r>
          </w:p>
        </w:tc>
      </w:tr>
      <w:tr w:rsidR="00863012" w:rsidRPr="00E163F2" w:rsidTr="00863012">
        <w:trPr>
          <w:trHeight w:val="841"/>
        </w:trPr>
        <w:tc>
          <w:tcPr>
            <w:tcW w:w="1397" w:type="dxa"/>
          </w:tcPr>
          <w:p w:rsidR="00863012" w:rsidRDefault="00863012" w:rsidP="00F90AA7">
            <w:pPr>
              <w:pStyle w:val="Tabletext"/>
            </w:pPr>
            <w:r>
              <w:t>Greater Wellington Regional Council</w:t>
            </w:r>
          </w:p>
        </w:tc>
        <w:tc>
          <w:tcPr>
            <w:tcW w:w="1134" w:type="dxa"/>
          </w:tcPr>
          <w:p w:rsidR="00863012" w:rsidRPr="00F90AA7" w:rsidRDefault="00863012" w:rsidP="007032AE">
            <w:pPr>
              <w:pStyle w:val="Tabletext"/>
              <w:jc w:val="right"/>
            </w:pPr>
            <w:r>
              <w:t>4,600</w:t>
            </w:r>
          </w:p>
        </w:tc>
        <w:tc>
          <w:tcPr>
            <w:tcW w:w="1134" w:type="dxa"/>
          </w:tcPr>
          <w:p w:rsidR="00863012" w:rsidRPr="00F90AA7" w:rsidRDefault="00C81AEE" w:rsidP="00F90AA7">
            <w:pPr>
              <w:pStyle w:val="Tabletext"/>
            </w:pPr>
            <w:r>
              <w:t>Yes</w:t>
            </w:r>
          </w:p>
        </w:tc>
        <w:tc>
          <w:tcPr>
            <w:tcW w:w="3969" w:type="dxa"/>
          </w:tcPr>
          <w:p w:rsidR="00863012" w:rsidRPr="00F90AA7" w:rsidRDefault="00C81AEE" w:rsidP="00E967A1">
            <w:pPr>
              <w:pStyle w:val="Tabletext"/>
            </w:pPr>
            <w:r>
              <w:t xml:space="preserve">Grow Wellington – </w:t>
            </w:r>
            <w:r w:rsidR="00E967A1">
              <w:t>lead agency for four of the six WRS focus areas; ‘c</w:t>
            </w:r>
            <w:r w:rsidR="00E967A1" w:rsidRPr="0008559D">
              <w:t>ommercialisation of innovation</w:t>
            </w:r>
            <w:r w:rsidR="00E967A1">
              <w:t>’, ‘i</w:t>
            </w:r>
            <w:r w:rsidR="00E967A1" w:rsidRPr="0008559D">
              <w:t>nvestment mechanisms for growth</w:t>
            </w:r>
            <w:r w:rsidR="00E967A1">
              <w:t>’, ‘a</w:t>
            </w:r>
            <w:r w:rsidR="00E967A1" w:rsidRPr="0008559D">
              <w:t>ttracting business, investment and talent</w:t>
            </w:r>
            <w:r w:rsidR="00E967A1">
              <w:t>’, and ‘education and workforce development’</w:t>
            </w:r>
          </w:p>
        </w:tc>
      </w:tr>
      <w:tr w:rsidR="00863012" w:rsidRPr="00E163F2" w:rsidTr="00863012">
        <w:tc>
          <w:tcPr>
            <w:tcW w:w="1397" w:type="dxa"/>
          </w:tcPr>
          <w:p w:rsidR="00863012" w:rsidRPr="00F90AA7" w:rsidRDefault="00863012" w:rsidP="003E7C76">
            <w:pPr>
              <w:pStyle w:val="Tabletext"/>
            </w:pPr>
            <w:r>
              <w:t>Maste</w:t>
            </w:r>
            <w:r w:rsidR="00797BA0">
              <w:t>r</w:t>
            </w:r>
            <w:r>
              <w:t>ton</w:t>
            </w:r>
            <w:r w:rsidR="003E7C76">
              <w:t xml:space="preserve"> </w:t>
            </w:r>
          </w:p>
        </w:tc>
        <w:tc>
          <w:tcPr>
            <w:tcW w:w="1134" w:type="dxa"/>
          </w:tcPr>
          <w:p w:rsidR="00863012" w:rsidRPr="00F90AA7" w:rsidRDefault="003E7C76" w:rsidP="003E7C76">
            <w:pPr>
              <w:pStyle w:val="Tabletext"/>
              <w:jc w:val="right"/>
            </w:pPr>
            <w:r>
              <w:t>669</w:t>
            </w:r>
          </w:p>
        </w:tc>
        <w:tc>
          <w:tcPr>
            <w:tcW w:w="1134" w:type="dxa"/>
          </w:tcPr>
          <w:p w:rsidR="00863012" w:rsidRPr="00F90AA7" w:rsidRDefault="00E967A1" w:rsidP="00F90AA7">
            <w:pPr>
              <w:pStyle w:val="Tabletext"/>
            </w:pPr>
            <w:r>
              <w:t>Not material</w:t>
            </w:r>
          </w:p>
        </w:tc>
        <w:tc>
          <w:tcPr>
            <w:tcW w:w="3969" w:type="dxa"/>
          </w:tcPr>
          <w:p w:rsidR="00863012" w:rsidRPr="00F90AA7" w:rsidRDefault="00B6319B" w:rsidP="00F90AA7">
            <w:pPr>
              <w:pStyle w:val="Tabletext"/>
            </w:pPr>
            <w:r w:rsidRPr="00356A70">
              <w:t>Promotion of economic growth and tourism potential in the district</w:t>
            </w:r>
            <w:r>
              <w:rPr>
                <w:rFonts w:ascii="Calibri" w:hAnsi="Calibri" w:cs="Calibri"/>
                <w:color w:val="000000"/>
                <w:lang w:eastAsia="en-NZ"/>
              </w:rPr>
              <w:t>.</w:t>
            </w:r>
          </w:p>
        </w:tc>
      </w:tr>
      <w:tr w:rsidR="00863012" w:rsidRPr="00E163F2" w:rsidTr="00863012">
        <w:tc>
          <w:tcPr>
            <w:tcW w:w="1397" w:type="dxa"/>
          </w:tcPr>
          <w:p w:rsidR="00863012" w:rsidRPr="00F90AA7" w:rsidRDefault="00863012" w:rsidP="00F90AA7">
            <w:pPr>
              <w:pStyle w:val="Tabletext"/>
            </w:pPr>
            <w:r>
              <w:t>Carte</w:t>
            </w:r>
            <w:r w:rsidR="003F62B4">
              <w:t>r</w:t>
            </w:r>
            <w:r>
              <w:t>ton</w:t>
            </w:r>
          </w:p>
        </w:tc>
        <w:tc>
          <w:tcPr>
            <w:tcW w:w="1134" w:type="dxa"/>
          </w:tcPr>
          <w:p w:rsidR="00863012" w:rsidRPr="00E967A1" w:rsidRDefault="00E967A1" w:rsidP="007032AE">
            <w:pPr>
              <w:pStyle w:val="Tabletext"/>
              <w:jc w:val="right"/>
              <w:rPr>
                <w:i/>
              </w:rPr>
            </w:pPr>
            <w:r w:rsidRPr="00E967A1">
              <w:rPr>
                <w:i/>
              </w:rPr>
              <w:t>368</w:t>
            </w:r>
            <w:r>
              <w:rPr>
                <w:i/>
              </w:rPr>
              <w:t>est</w:t>
            </w:r>
          </w:p>
        </w:tc>
        <w:tc>
          <w:tcPr>
            <w:tcW w:w="1134" w:type="dxa"/>
          </w:tcPr>
          <w:p w:rsidR="00863012" w:rsidRPr="00F90AA7" w:rsidRDefault="00E967A1" w:rsidP="00F90AA7">
            <w:pPr>
              <w:pStyle w:val="Tabletext"/>
            </w:pPr>
            <w:r>
              <w:t>Not material</w:t>
            </w:r>
          </w:p>
        </w:tc>
        <w:tc>
          <w:tcPr>
            <w:tcW w:w="3969" w:type="dxa"/>
          </w:tcPr>
          <w:p w:rsidR="00863012" w:rsidRPr="00F90AA7" w:rsidRDefault="00356A70" w:rsidP="00E967A1">
            <w:pPr>
              <w:pStyle w:val="Tabletext"/>
            </w:pPr>
            <w:r w:rsidRPr="00356A70">
              <w:t>Promotion of economic growth and tourism potential in the district</w:t>
            </w:r>
            <w:r w:rsidR="00E967A1">
              <w:rPr>
                <w:rFonts w:ascii="Calibri" w:hAnsi="Calibri" w:cs="Calibri"/>
                <w:color w:val="000000"/>
                <w:lang w:eastAsia="en-NZ"/>
              </w:rPr>
              <w:t>. (Includes community support.)</w:t>
            </w:r>
          </w:p>
        </w:tc>
      </w:tr>
      <w:tr w:rsidR="00863012" w:rsidRPr="00E163F2" w:rsidTr="00863012">
        <w:tc>
          <w:tcPr>
            <w:tcW w:w="1397" w:type="dxa"/>
          </w:tcPr>
          <w:p w:rsidR="00863012" w:rsidRPr="00F90AA7" w:rsidRDefault="00863012" w:rsidP="00F90AA7">
            <w:pPr>
              <w:pStyle w:val="Tabletext"/>
            </w:pPr>
            <w:r>
              <w:t>South Wairar</w:t>
            </w:r>
            <w:r w:rsidR="003F62B4">
              <w:t>a</w:t>
            </w:r>
            <w:r>
              <w:t>pa</w:t>
            </w:r>
          </w:p>
        </w:tc>
        <w:tc>
          <w:tcPr>
            <w:tcW w:w="1134" w:type="dxa"/>
          </w:tcPr>
          <w:p w:rsidR="00863012" w:rsidRPr="00F90AA7" w:rsidRDefault="006C7A15" w:rsidP="007032AE">
            <w:pPr>
              <w:pStyle w:val="Tabletext"/>
              <w:jc w:val="right"/>
            </w:pPr>
            <w:r>
              <w:t>181</w:t>
            </w:r>
          </w:p>
        </w:tc>
        <w:tc>
          <w:tcPr>
            <w:tcW w:w="1134" w:type="dxa"/>
          </w:tcPr>
          <w:p w:rsidR="00863012" w:rsidRPr="00F90AA7" w:rsidRDefault="00E967A1" w:rsidP="00F90AA7">
            <w:pPr>
              <w:pStyle w:val="Tabletext"/>
            </w:pPr>
            <w:r>
              <w:t>Not material</w:t>
            </w:r>
          </w:p>
        </w:tc>
        <w:tc>
          <w:tcPr>
            <w:tcW w:w="3969" w:type="dxa"/>
          </w:tcPr>
          <w:p w:rsidR="00863012" w:rsidRPr="00F90AA7" w:rsidRDefault="006C7A15" w:rsidP="00F90AA7">
            <w:pPr>
              <w:pStyle w:val="Tabletext"/>
            </w:pPr>
            <w:r>
              <w:t>Destination Wairarapa plus administration costs.</w:t>
            </w:r>
          </w:p>
        </w:tc>
      </w:tr>
      <w:tr w:rsidR="003F62B4" w:rsidRPr="00E163F2" w:rsidTr="00863012">
        <w:tc>
          <w:tcPr>
            <w:tcW w:w="1397" w:type="dxa"/>
          </w:tcPr>
          <w:p w:rsidR="003F62B4" w:rsidRPr="003F62B4" w:rsidRDefault="003F62B4" w:rsidP="00F90AA7">
            <w:pPr>
              <w:pStyle w:val="Tabletext"/>
              <w:rPr>
                <w:b/>
              </w:rPr>
            </w:pPr>
            <w:r w:rsidRPr="003F62B4">
              <w:rPr>
                <w:b/>
              </w:rPr>
              <w:t>Total</w:t>
            </w:r>
          </w:p>
        </w:tc>
        <w:tc>
          <w:tcPr>
            <w:tcW w:w="1134" w:type="dxa"/>
          </w:tcPr>
          <w:p w:rsidR="003F62B4" w:rsidRPr="003F62B4" w:rsidRDefault="003F62B4" w:rsidP="007032AE">
            <w:pPr>
              <w:pStyle w:val="Tabletext"/>
              <w:jc w:val="right"/>
              <w:rPr>
                <w:b/>
              </w:rPr>
            </w:pPr>
            <w:r>
              <w:rPr>
                <w:b/>
              </w:rPr>
              <w:t>33,361</w:t>
            </w:r>
          </w:p>
        </w:tc>
        <w:tc>
          <w:tcPr>
            <w:tcW w:w="1134" w:type="dxa"/>
          </w:tcPr>
          <w:p w:rsidR="003F62B4" w:rsidRDefault="003F62B4" w:rsidP="00F90AA7">
            <w:pPr>
              <w:pStyle w:val="Tabletext"/>
            </w:pPr>
          </w:p>
        </w:tc>
        <w:tc>
          <w:tcPr>
            <w:tcW w:w="3969" w:type="dxa"/>
          </w:tcPr>
          <w:p w:rsidR="003F62B4" w:rsidRDefault="003F62B4" w:rsidP="00F90AA7">
            <w:pPr>
              <w:pStyle w:val="Tabletext"/>
            </w:pPr>
          </w:p>
        </w:tc>
      </w:tr>
    </w:tbl>
    <w:p w:rsidR="001D4391" w:rsidRDefault="001D4391" w:rsidP="00186326">
      <w:pPr>
        <w:pStyle w:val="TableSource"/>
      </w:pPr>
      <w:r>
        <w:t xml:space="preserve">Source: </w:t>
      </w:r>
      <w:r w:rsidR="00714DB3">
        <w:t>NZIER analysis of council long term plans</w:t>
      </w:r>
    </w:p>
    <w:p w:rsidR="00356A70" w:rsidRDefault="00356A70" w:rsidP="00356A70">
      <w:pPr>
        <w:pStyle w:val="BodyText"/>
      </w:pPr>
      <w:r>
        <w:t>The similarity of purpose of the funding for each council and the provision of funding incentives could be due to a combination of the following:</w:t>
      </w:r>
    </w:p>
    <w:p w:rsidR="00356A70" w:rsidRDefault="00356A70" w:rsidP="00356A70">
      <w:pPr>
        <w:pStyle w:val="Bullet"/>
      </w:pPr>
      <w:r>
        <w:lastRenderedPageBreak/>
        <w:t>a focus of the spending on local business initiatives – representing an exercise of local community choice</w:t>
      </w:r>
      <w:r w:rsidR="003F62B4">
        <w:t xml:space="preserve"> –to be maintained after regional consolidation</w:t>
      </w:r>
    </w:p>
    <w:p w:rsidR="00356A70" w:rsidRDefault="00356A70" w:rsidP="00356A70">
      <w:pPr>
        <w:pStyle w:val="Bullet"/>
      </w:pPr>
      <w:r>
        <w:t>duplication of spending to attract visitors or businesses from outside the region to different locations within the region and potentially intra-regional competition for business</w:t>
      </w:r>
      <w:r w:rsidR="003F62B4">
        <w:t xml:space="preserve"> –to be eliminated by regional consolidation</w:t>
      </w:r>
      <w:r>
        <w:t>.</w:t>
      </w:r>
    </w:p>
    <w:p w:rsidR="00356A70" w:rsidRDefault="00356A70" w:rsidP="00356A70">
      <w:pPr>
        <w:pStyle w:val="BodyText"/>
      </w:pPr>
      <w:r>
        <w:t xml:space="preserve">These two </w:t>
      </w:r>
      <w:r w:rsidR="003F62B4">
        <w:t>driver</w:t>
      </w:r>
      <w:r>
        <w:t>s</w:t>
      </w:r>
      <w:r w:rsidR="003F62B4">
        <w:t xml:space="preserve"> of spending</w:t>
      </w:r>
      <w:r>
        <w:t xml:space="preserve"> are at opposite ends of a continuum of potential benefit from regional co-ordination of economic development spending. We cannot tell fr</w:t>
      </w:r>
      <w:r w:rsidR="003F62B4">
        <w:t>o</w:t>
      </w:r>
      <w:r>
        <w:t>m the high level spending data where economic development spending sits on the continuum. The estimate of merger benefits depends in part on this assessment as under regional co-ordination of economic development spending:</w:t>
      </w:r>
    </w:p>
    <w:p w:rsidR="00356A70" w:rsidRDefault="00356A70" w:rsidP="00356A70">
      <w:pPr>
        <w:pStyle w:val="Bullet"/>
      </w:pPr>
      <w:r>
        <w:t xml:space="preserve">spending on localised advice is probably likely to continue </w:t>
      </w:r>
    </w:p>
    <w:p w:rsidR="00356A70" w:rsidRDefault="00356A70" w:rsidP="00356A70">
      <w:pPr>
        <w:pStyle w:val="Bullet"/>
      </w:pPr>
      <w:r>
        <w:t>avoidance of duplication offers the main opportunity for savings.</w:t>
      </w:r>
    </w:p>
    <w:p w:rsidR="003F62B4" w:rsidRDefault="003F62B4" w:rsidP="003F62B4">
      <w:pPr>
        <w:pStyle w:val="BodyText"/>
      </w:pPr>
      <w:r>
        <w:t xml:space="preserve">A key challenge for the merger process is to </w:t>
      </w:r>
      <w:r w:rsidR="0063090D">
        <w:t xml:space="preserve">how to balance the </w:t>
      </w:r>
      <w:r>
        <w:t>preserv</w:t>
      </w:r>
      <w:r w:rsidR="0063090D">
        <w:t>ation of</w:t>
      </w:r>
      <w:r>
        <w:t xml:space="preserve"> </w:t>
      </w:r>
      <w:r w:rsidR="0063090D">
        <w:t>business development spending that reflects local community choice with ensuring efficient and effective delivery of the WRS.</w:t>
      </w:r>
    </w:p>
    <w:p w:rsidR="003B67FF" w:rsidRDefault="003B67FF" w:rsidP="009456F4">
      <w:pPr>
        <w:pStyle w:val="Heading2"/>
      </w:pPr>
      <w:bookmarkStart w:id="12" w:name="_Toc397342141"/>
      <w:r>
        <w:t xml:space="preserve">Wellington </w:t>
      </w:r>
      <w:r w:rsidR="0063090D">
        <w:t>R</w:t>
      </w:r>
      <w:r>
        <w:t xml:space="preserve">egional </w:t>
      </w:r>
      <w:r w:rsidR="0063090D">
        <w:t>S</w:t>
      </w:r>
      <w:r>
        <w:t>trategy</w:t>
      </w:r>
      <w:bookmarkEnd w:id="12"/>
    </w:p>
    <w:p w:rsidR="00765AEE" w:rsidRDefault="00765AEE" w:rsidP="00823E18">
      <w:pPr>
        <w:pStyle w:val="BodyText"/>
      </w:pPr>
      <w:r>
        <w:t>The Wellington Regional Strategy (WRS) and its implementation agency Grow Wellington is the current baseline for regional co-ordination of economic development spending.</w:t>
      </w:r>
    </w:p>
    <w:p w:rsidR="00F67401" w:rsidRDefault="00F67401" w:rsidP="00F67401">
      <w:pPr>
        <w:pStyle w:val="Heading3"/>
      </w:pPr>
      <w:r>
        <w:t>Development of the WRS (2004 -2007)</w:t>
      </w:r>
    </w:p>
    <w:p w:rsidR="00823E18" w:rsidRDefault="00067DBD" w:rsidP="00F02F52">
      <w:pPr>
        <w:pStyle w:val="BodyText"/>
      </w:pPr>
      <w:r>
        <w:t xml:space="preserve">The Wellington Regional Strategy was </w:t>
      </w:r>
      <w:r w:rsidR="00823E18">
        <w:t>developed during 2004 to 2007</w:t>
      </w:r>
      <w:r>
        <w:t xml:space="preserve"> </w:t>
      </w:r>
      <w:r w:rsidR="00823E18">
        <w:t>in</w:t>
      </w:r>
      <w:r w:rsidR="00823E18" w:rsidRPr="00823E18">
        <w:t xml:space="preserve"> consultation with business</w:t>
      </w:r>
      <w:r w:rsidR="0063090D">
        <w:t>es</w:t>
      </w:r>
      <w:r w:rsidR="00823E18" w:rsidRPr="00823E18">
        <w:t>, education</w:t>
      </w:r>
      <w:r w:rsidR="0063090D">
        <w:t xml:space="preserve"> providers</w:t>
      </w:r>
      <w:r w:rsidR="00823E18" w:rsidRPr="00823E18">
        <w:t xml:space="preserve">, </w:t>
      </w:r>
      <w:r w:rsidR="0063090D">
        <w:t>and central government agencies.</w:t>
      </w:r>
      <w:r w:rsidR="00823E18">
        <w:t xml:space="preserve"> </w:t>
      </w:r>
      <w:r w:rsidR="0063090D">
        <w:t xml:space="preserve">The WRS project team built up an information base of the drivers of economic activity in the region and council policies and practices. This allowed </w:t>
      </w:r>
      <w:r w:rsidR="00F02F52">
        <w:t>councils to identify common opportunities and development objectives but also highlighted</w:t>
      </w:r>
      <w:r w:rsidR="00823E18">
        <w:t xml:space="preserve"> differences between the councils </w:t>
      </w:r>
      <w:r w:rsidR="00F02F52">
        <w:t xml:space="preserve">in </w:t>
      </w:r>
      <w:r w:rsidR="00823E18">
        <w:t>their approach to economic development, spatial planning and provision of infrastructure.</w:t>
      </w:r>
      <w:r w:rsidR="00823E18" w:rsidRPr="00823E18">
        <w:t xml:space="preserve"> </w:t>
      </w:r>
    </w:p>
    <w:p w:rsidR="008D1CF6" w:rsidRDefault="00F02F52" w:rsidP="00765AEE">
      <w:pPr>
        <w:pStyle w:val="BodyText"/>
      </w:pPr>
      <w:r>
        <w:t>Also, a</w:t>
      </w:r>
      <w:r w:rsidR="008D1CF6">
        <w:t xml:space="preserve">t the time of development of the </w:t>
      </w:r>
      <w:r>
        <w:t>WRS</w:t>
      </w:r>
      <w:r w:rsidR="008D1CF6">
        <w:t xml:space="preserve"> there were strong indications fr</w:t>
      </w:r>
      <w:r>
        <w:t>o</w:t>
      </w:r>
      <w:r w:rsidR="008D1CF6">
        <w:t xml:space="preserve">m central government </w:t>
      </w:r>
      <w:r>
        <w:t xml:space="preserve">that </w:t>
      </w:r>
      <w:r w:rsidR="008D1CF6">
        <w:t xml:space="preserve">regional economic development funding would be made available to councils that could </w:t>
      </w:r>
      <w:r>
        <w:t xml:space="preserve">organise themselves to deliver </w:t>
      </w:r>
      <w:r w:rsidR="008D1CF6">
        <w:t>region</w:t>
      </w:r>
      <w:r w:rsidR="00C324D9">
        <w:t>a</w:t>
      </w:r>
      <w:r w:rsidR="008D1CF6">
        <w:t>l</w:t>
      </w:r>
      <w:r w:rsidR="00C324D9">
        <w:t>ly</w:t>
      </w:r>
      <w:r w:rsidR="008D1CF6">
        <w:t xml:space="preserve"> focused </w:t>
      </w:r>
      <w:r>
        <w:t>initiatives</w:t>
      </w:r>
      <w:r w:rsidR="008D1CF6">
        <w:t>.</w:t>
      </w:r>
    </w:p>
    <w:p w:rsidR="00765AEE" w:rsidRDefault="00053596" w:rsidP="00765AEE">
      <w:pPr>
        <w:pStyle w:val="BodyText"/>
      </w:pPr>
      <w:r w:rsidRPr="00053596">
        <w:t xml:space="preserve">The </w:t>
      </w:r>
      <w:r>
        <w:t>objective of the WRS was</w:t>
      </w:r>
      <w:r w:rsidRPr="00053596">
        <w:t xml:space="preserve"> to make the Wellington region internationally competitive, a great place to live, with excellent career opportunities and a strong vibrant economy</w:t>
      </w:r>
      <w:r w:rsidR="00F02F52">
        <w:rPr>
          <w:rStyle w:val="FootnoteReference"/>
        </w:rPr>
        <w:footnoteReference w:id="2"/>
      </w:r>
      <w:r w:rsidRPr="00053596">
        <w:t>.</w:t>
      </w:r>
      <w:r>
        <w:t xml:space="preserve"> </w:t>
      </w:r>
      <w:r w:rsidR="00765AEE">
        <w:t>The councils agreed to implement the strategy by:</w:t>
      </w:r>
    </w:p>
    <w:p w:rsidR="00765AEE" w:rsidRDefault="00765AEE" w:rsidP="00765AEE">
      <w:pPr>
        <w:pStyle w:val="Bullet"/>
      </w:pPr>
      <w:r>
        <w:t>requesting the Greater Wellington Regional Council to collect a regional rate (around $4 million) with councils foregoing some of their rates.</w:t>
      </w:r>
    </w:p>
    <w:p w:rsidR="00765AEE" w:rsidRDefault="00765AEE" w:rsidP="00765AEE">
      <w:pPr>
        <w:pStyle w:val="Bullet"/>
      </w:pPr>
      <w:r>
        <w:t>establishing the W</w:t>
      </w:r>
      <w:r w:rsidR="008D1CF6">
        <w:t>RS committee (</w:t>
      </w:r>
      <w:r w:rsidR="00053596">
        <w:t>6</w:t>
      </w:r>
      <w:r w:rsidR="008D1CF6">
        <w:t xml:space="preserve"> mayors </w:t>
      </w:r>
      <w:r w:rsidR="00053596">
        <w:t>from</w:t>
      </w:r>
      <w:r w:rsidR="008D1CF6">
        <w:t xml:space="preserve"> the individual councils</w:t>
      </w:r>
      <w:r w:rsidR="00053596">
        <w:rPr>
          <w:rStyle w:val="FootnoteReference"/>
        </w:rPr>
        <w:footnoteReference w:id="3"/>
      </w:r>
      <w:r w:rsidR="00053596">
        <w:t xml:space="preserve"> plus 5 independent directors and an independent chair</w:t>
      </w:r>
      <w:r w:rsidR="008D1CF6">
        <w:t xml:space="preserve">) and Grow </w:t>
      </w:r>
      <w:r w:rsidR="008D1CF6">
        <w:lastRenderedPageBreak/>
        <w:t xml:space="preserve">Wellington the organisation charged with both using the funding to implement the objectives of the strategy and </w:t>
      </w:r>
      <w:r w:rsidR="00C324D9">
        <w:t>attract</w:t>
      </w:r>
      <w:r w:rsidR="008D1CF6">
        <w:t xml:space="preserve"> co-funding.</w:t>
      </w:r>
    </w:p>
    <w:p w:rsidR="008D1CF6" w:rsidRDefault="008D1CF6" w:rsidP="008D1CF6">
      <w:pPr>
        <w:pStyle w:val="BodyText"/>
      </w:pPr>
      <w:r>
        <w:t>The development of the strategy was successful in creating a regional consensus on elements of a growth strategy and shared funding. However because the development of the WRS was a collaborative and voluntary effort between the councils it appears that:</w:t>
      </w:r>
    </w:p>
    <w:p w:rsidR="008D1CF6" w:rsidRDefault="008D1CF6" w:rsidP="008D1CF6">
      <w:pPr>
        <w:pStyle w:val="Bullet"/>
      </w:pPr>
      <w:r>
        <w:t>councils still retained direct control of the bulk of the spending on economic development with a focus on the needs of their territorial area</w:t>
      </w:r>
    </w:p>
    <w:p w:rsidR="008D1CF6" w:rsidRDefault="008D1CF6" w:rsidP="008D1CF6">
      <w:pPr>
        <w:pStyle w:val="Bullet"/>
      </w:pPr>
      <w:r>
        <w:t>opportunities for co-ordination that required resolution of difference</w:t>
      </w:r>
      <w:r w:rsidR="00104AA3">
        <w:t>s</w:t>
      </w:r>
      <w:r>
        <w:t xml:space="preserve"> between councils such as common approach</w:t>
      </w:r>
      <w:r w:rsidR="00104AA3">
        <w:t>es</w:t>
      </w:r>
      <w:r>
        <w:t xml:space="preserve"> to spatial planning or </w:t>
      </w:r>
      <w:r w:rsidR="00053596">
        <w:t>infrastructure standards were not resolved.</w:t>
      </w:r>
    </w:p>
    <w:p w:rsidR="00F67401" w:rsidRDefault="00F67401" w:rsidP="00F67401">
      <w:pPr>
        <w:pStyle w:val="Heading3"/>
      </w:pPr>
      <w:r>
        <w:t>WRS review and refresh (2011 -2012)</w:t>
      </w:r>
    </w:p>
    <w:p w:rsidR="007D5A2B" w:rsidRDefault="008D1CF6" w:rsidP="0008559D">
      <w:pPr>
        <w:pStyle w:val="BodyText"/>
      </w:pPr>
      <w:r>
        <w:t xml:space="preserve">The WRS </w:t>
      </w:r>
      <w:r w:rsidR="0008559D">
        <w:t xml:space="preserve">was refreshed in 2012 following a </w:t>
      </w:r>
      <w:r>
        <w:t>review</w:t>
      </w:r>
      <w:r w:rsidR="0008559D">
        <w:t xml:space="preserve"> by Martin Jenkins in 2011. The current version of the strategy has six focus areas</w:t>
      </w:r>
      <w:r w:rsidR="002B7E5F">
        <w:t xml:space="preserve"> paraphrased</w:t>
      </w:r>
      <w:r w:rsidR="00F67401">
        <w:rPr>
          <w:rStyle w:val="FootnoteReference"/>
        </w:rPr>
        <w:footnoteReference w:id="4"/>
      </w:r>
      <w:r w:rsidR="002B7E5F">
        <w:t xml:space="preserve"> as follows</w:t>
      </w:r>
      <w:r w:rsidR="0008559D">
        <w:t>:</w:t>
      </w:r>
    </w:p>
    <w:p w:rsidR="0008559D" w:rsidRPr="0008559D" w:rsidRDefault="0008559D" w:rsidP="0008559D">
      <w:pPr>
        <w:pStyle w:val="Bullet"/>
      </w:pPr>
      <w:r w:rsidRPr="0008559D">
        <w:t>Commercialisation of innovation</w:t>
      </w:r>
      <w:r>
        <w:t xml:space="preserve"> - </w:t>
      </w:r>
      <w:r w:rsidRPr="0008559D">
        <w:t>supporting successful businesses to innovate and champion</w:t>
      </w:r>
      <w:r>
        <w:t>ing a</w:t>
      </w:r>
      <w:r w:rsidRPr="0008559D">
        <w:t xml:space="preserve"> supportive business environment.</w:t>
      </w:r>
    </w:p>
    <w:p w:rsidR="0008559D" w:rsidRDefault="0008559D" w:rsidP="0008559D">
      <w:pPr>
        <w:pStyle w:val="Bullet"/>
      </w:pPr>
      <w:r w:rsidRPr="0008559D">
        <w:t>Investment mechanisms for growth</w:t>
      </w:r>
      <w:r>
        <w:t xml:space="preserve"> - </w:t>
      </w:r>
      <w:r w:rsidRPr="0008559D">
        <w:t xml:space="preserve">attracting international investment, </w:t>
      </w:r>
      <w:r w:rsidR="002B7E5F">
        <w:t xml:space="preserve">using </w:t>
      </w:r>
      <w:r w:rsidRPr="0008559D">
        <w:t>existing investment networks and ensuring businesses are in a</w:t>
      </w:r>
      <w:r w:rsidR="002B7E5F">
        <w:t xml:space="preserve"> </w:t>
      </w:r>
      <w:r w:rsidRPr="0008559D">
        <w:t>position to realise investment opportunities.</w:t>
      </w:r>
    </w:p>
    <w:p w:rsidR="0008559D" w:rsidRPr="0008559D" w:rsidRDefault="0008559D" w:rsidP="002B7E5F">
      <w:pPr>
        <w:pStyle w:val="Bullet"/>
      </w:pPr>
      <w:r w:rsidRPr="0008559D">
        <w:t>Building world-class infrastructure</w:t>
      </w:r>
      <w:r w:rsidR="002B7E5F">
        <w:t xml:space="preserve"> - connected and resilient</w:t>
      </w:r>
    </w:p>
    <w:p w:rsidR="0008559D" w:rsidRPr="0008559D" w:rsidRDefault="0008559D" w:rsidP="002B7E5F">
      <w:pPr>
        <w:pStyle w:val="Bullet"/>
      </w:pPr>
      <w:r w:rsidRPr="0008559D">
        <w:t>Attracting business, investment and talent</w:t>
      </w:r>
      <w:r w:rsidR="002B7E5F">
        <w:t xml:space="preserve"> </w:t>
      </w:r>
      <w:r w:rsidRPr="0008559D">
        <w:t>to the region</w:t>
      </w:r>
      <w:r w:rsidR="002B7E5F">
        <w:t xml:space="preserve"> including </w:t>
      </w:r>
      <w:r w:rsidRPr="0008559D">
        <w:t>businesses, potential investors, skilled migrants</w:t>
      </w:r>
      <w:r w:rsidR="002B7E5F">
        <w:t xml:space="preserve"> </w:t>
      </w:r>
      <w:r w:rsidR="00C324D9">
        <w:t>and</w:t>
      </w:r>
      <w:r w:rsidR="00C324D9" w:rsidRPr="0008559D">
        <w:t xml:space="preserve"> students</w:t>
      </w:r>
      <w:r w:rsidRPr="0008559D">
        <w:t xml:space="preserve"> to the region.</w:t>
      </w:r>
    </w:p>
    <w:p w:rsidR="0008559D" w:rsidRPr="0008559D" w:rsidRDefault="0008559D" w:rsidP="002B7E5F">
      <w:pPr>
        <w:pStyle w:val="Bullet"/>
      </w:pPr>
      <w:r w:rsidRPr="0008559D">
        <w:t>Education and workforce development to</w:t>
      </w:r>
      <w:r w:rsidR="002B7E5F">
        <w:t xml:space="preserve"> </w:t>
      </w:r>
      <w:r w:rsidRPr="0008559D">
        <w:t>service regional economy needs</w:t>
      </w:r>
    </w:p>
    <w:p w:rsidR="0008559D" w:rsidRDefault="0008559D" w:rsidP="002B7E5F">
      <w:pPr>
        <w:pStyle w:val="Bullet"/>
      </w:pPr>
      <w:r w:rsidRPr="0008559D">
        <w:t>Open for business</w:t>
      </w:r>
      <w:r w:rsidR="002B7E5F">
        <w:t xml:space="preserve"> -</w:t>
      </w:r>
      <w:r w:rsidRPr="0008559D">
        <w:t xml:space="preserve"> councils delivering</w:t>
      </w:r>
      <w:r w:rsidR="002B7E5F">
        <w:t xml:space="preserve"> </w:t>
      </w:r>
      <w:r w:rsidRPr="0008559D">
        <w:t>business services with a “can do” attitude and facilitating</w:t>
      </w:r>
      <w:r w:rsidR="002B7E5F">
        <w:t xml:space="preserve"> </w:t>
      </w:r>
      <w:r w:rsidRPr="0008559D">
        <w:t>a business environment where smart, innovative firms can</w:t>
      </w:r>
      <w:r w:rsidR="002B7E5F">
        <w:t xml:space="preserve"> flourish</w:t>
      </w:r>
    </w:p>
    <w:p w:rsidR="00104AA3" w:rsidRDefault="00A86B91" w:rsidP="002B7E5F">
      <w:pPr>
        <w:pStyle w:val="BodyText"/>
      </w:pPr>
      <w:r>
        <w:t>Grow Wellington is defined as the lead agency with support from local councils f</w:t>
      </w:r>
      <w:r w:rsidR="0069335D">
        <w:t>or</w:t>
      </w:r>
      <w:r>
        <w:t xml:space="preserve"> four of</w:t>
      </w:r>
      <w:r w:rsidR="0069335D">
        <w:t xml:space="preserve"> the </w:t>
      </w:r>
      <w:r>
        <w:t xml:space="preserve">six </w:t>
      </w:r>
      <w:r w:rsidR="0069335D">
        <w:t>focus areas</w:t>
      </w:r>
      <w:r w:rsidR="00104AA3">
        <w:t>:</w:t>
      </w:r>
      <w:r w:rsidR="0069335D">
        <w:t xml:space="preserve"> ‘c</w:t>
      </w:r>
      <w:r w:rsidR="0069335D" w:rsidRPr="0008559D">
        <w:t>ommercialisation of innovation</w:t>
      </w:r>
      <w:r w:rsidR="0069335D">
        <w:t>’, ‘i</w:t>
      </w:r>
      <w:r w:rsidR="0069335D" w:rsidRPr="0008559D">
        <w:t>nvestment mechanisms for growth</w:t>
      </w:r>
      <w:r w:rsidR="0069335D">
        <w:t>’</w:t>
      </w:r>
      <w:r>
        <w:t>, ‘a</w:t>
      </w:r>
      <w:r w:rsidRPr="0008559D">
        <w:t>ttracting business, investment and talent</w:t>
      </w:r>
      <w:r>
        <w:t>’, and ‘education and workforce development’. Councils are the lead agencies for the focus areas ‘b</w:t>
      </w:r>
      <w:r w:rsidRPr="0008559D">
        <w:t>uilding world-class infrastructure</w:t>
      </w:r>
      <w:r>
        <w:t>’ and ‘o</w:t>
      </w:r>
      <w:r w:rsidRPr="0008559D">
        <w:t>pen for business</w:t>
      </w:r>
      <w:r>
        <w:t xml:space="preserve">’. </w:t>
      </w:r>
    </w:p>
    <w:p w:rsidR="001B27E3" w:rsidRDefault="00A86B91" w:rsidP="002B7E5F">
      <w:pPr>
        <w:pStyle w:val="BodyText"/>
      </w:pPr>
      <w:r>
        <w:t xml:space="preserve">The emphasis of the strategy is on working with the </w:t>
      </w:r>
      <w:r w:rsidR="00104AA3">
        <w:t xml:space="preserve">external </w:t>
      </w:r>
      <w:r>
        <w:t xml:space="preserve">partners </w:t>
      </w:r>
      <w:r w:rsidR="001B27E3">
        <w:t>listed for each f</w:t>
      </w:r>
      <w:r>
        <w:t>ocus area</w:t>
      </w:r>
      <w:r w:rsidR="001B27E3">
        <w:t xml:space="preserve"> to deliver the objective of the strategy. </w:t>
      </w:r>
      <w:r w:rsidR="00B2205F">
        <w:t xml:space="preserve">A </w:t>
      </w:r>
      <w:r w:rsidR="00104AA3">
        <w:t>key argument for regional delivery</w:t>
      </w:r>
      <w:r w:rsidR="00B2205F">
        <w:t xml:space="preserve"> of the strategy is that partnerships with central government agencies, education providers and private sector organisation</w:t>
      </w:r>
      <w:r w:rsidR="00F67401">
        <w:t>s</w:t>
      </w:r>
      <w:r w:rsidR="00B2205F">
        <w:t xml:space="preserve"> will be much easier to develop and contribute more effectively to the growth of the region if these organis</w:t>
      </w:r>
      <w:r w:rsidR="006E6886">
        <w:t>ations can partner with regional local government rather than individual councils.</w:t>
      </w:r>
    </w:p>
    <w:p w:rsidR="00E466B7" w:rsidRDefault="00BF3C1F" w:rsidP="002B7E5F">
      <w:pPr>
        <w:pStyle w:val="BodyText"/>
      </w:pPr>
      <w:r>
        <w:t>The WRS provides an agreed strategy for regional business development activity and allocates responsibility for leading each of the focus areas to either Grow Wellington or specific councils. However, a</w:t>
      </w:r>
      <w:r w:rsidR="001B27E3">
        <w:t xml:space="preserve">t face value the allocation of economic development spending between individual councils and regional delivery arms such as Grow </w:t>
      </w:r>
      <w:r w:rsidR="001B27E3">
        <w:lastRenderedPageBreak/>
        <w:t xml:space="preserve">Wellington does seem to match the </w:t>
      </w:r>
      <w:r w:rsidR="00B2205F">
        <w:t xml:space="preserve">regional </w:t>
      </w:r>
      <w:r w:rsidR="001B27E3">
        <w:t xml:space="preserve">emphasis suggested by the focus areas of the WRS. </w:t>
      </w:r>
    </w:p>
    <w:p w:rsidR="002B7E5F" w:rsidRDefault="001B27E3" w:rsidP="002B7E5F">
      <w:pPr>
        <w:pStyle w:val="BodyText"/>
      </w:pPr>
      <w:r>
        <w:t xml:space="preserve">For most councils </w:t>
      </w:r>
      <w:r w:rsidR="00245038">
        <w:t xml:space="preserve">spending on </w:t>
      </w:r>
      <w:r>
        <w:t>the provision of advice to local businesses</w:t>
      </w:r>
      <w:r w:rsidR="00B2205F">
        <w:t>,</w:t>
      </w:r>
      <w:r>
        <w:t xml:space="preserve"> attraction of </w:t>
      </w:r>
      <w:r w:rsidR="00B2205F">
        <w:t xml:space="preserve">investment and tourism promotion seems to be concentrated </w:t>
      </w:r>
      <w:r w:rsidR="00245038">
        <w:t xml:space="preserve">on local activities rather than supporting a regional approach. </w:t>
      </w:r>
      <w:r w:rsidR="00B2205F">
        <w:t xml:space="preserve">Of individual council spending, </w:t>
      </w:r>
      <w:r w:rsidR="00245038">
        <w:t>Wellington City Council tourism and events promotion</w:t>
      </w:r>
      <w:r w:rsidR="00B2205F">
        <w:t xml:space="preserve"> seems to be most likely to have regional spill</w:t>
      </w:r>
      <w:r w:rsidR="006E6886">
        <w:t>-</w:t>
      </w:r>
      <w:r w:rsidR="00B2205F">
        <w:t xml:space="preserve">overs, but this spending seems to occur in parallel </w:t>
      </w:r>
      <w:r w:rsidR="00104AA3">
        <w:t xml:space="preserve">to, </w:t>
      </w:r>
      <w:r w:rsidR="00B2205F">
        <w:t xml:space="preserve">rather than </w:t>
      </w:r>
      <w:r w:rsidR="006E6886">
        <w:t xml:space="preserve">be </w:t>
      </w:r>
      <w:r w:rsidR="00B2205F">
        <w:t>co-ordin</w:t>
      </w:r>
      <w:r w:rsidR="00104AA3">
        <w:t>ated with</w:t>
      </w:r>
      <w:r w:rsidR="00E466B7">
        <w:t>,</w:t>
      </w:r>
      <w:r w:rsidR="00104AA3">
        <w:t xml:space="preserve"> Grow Wellington spending o</w:t>
      </w:r>
      <w:r w:rsidR="00B2205F">
        <w:t>n the</w:t>
      </w:r>
      <w:r w:rsidR="006E6886">
        <w:t xml:space="preserve"> focus </w:t>
      </w:r>
      <w:r w:rsidR="00B2205F">
        <w:t>areas</w:t>
      </w:r>
      <w:r w:rsidR="006E6886">
        <w:t xml:space="preserve"> ‘a</w:t>
      </w:r>
      <w:r w:rsidR="006E6886" w:rsidRPr="0008559D">
        <w:t>ttracting business, investment and talent</w:t>
      </w:r>
      <w:r w:rsidR="006E6886">
        <w:t>’ and to a lesser extent ‘i</w:t>
      </w:r>
      <w:r w:rsidR="006E6886" w:rsidRPr="0008559D">
        <w:t>nvestment mechanisms for growth</w:t>
      </w:r>
      <w:r w:rsidR="006E6886">
        <w:t>’</w:t>
      </w:r>
      <w:r w:rsidR="00B2205F">
        <w:t>.</w:t>
      </w:r>
    </w:p>
    <w:p w:rsidR="003B67FF" w:rsidRDefault="003B67FF" w:rsidP="0008559D">
      <w:pPr>
        <w:pStyle w:val="Heading2"/>
      </w:pPr>
      <w:bookmarkStart w:id="13" w:name="_Toc397342142"/>
      <w:r>
        <w:t>WREDA proposal</w:t>
      </w:r>
      <w:bookmarkEnd w:id="13"/>
    </w:p>
    <w:p w:rsidR="003E7C76" w:rsidRDefault="006E6886" w:rsidP="00962D40">
      <w:pPr>
        <w:pStyle w:val="BodyText"/>
      </w:pPr>
      <w:r>
        <w:t>The Wellington Regional</w:t>
      </w:r>
      <w:r w:rsidR="001F38CE">
        <w:t xml:space="preserve"> Economic Development Agency </w:t>
      </w:r>
      <w:r w:rsidR="003E7C76">
        <w:t xml:space="preserve">(WREDA) </w:t>
      </w:r>
      <w:r w:rsidR="001F38CE">
        <w:t>proposal addresses some of the is</w:t>
      </w:r>
      <w:r w:rsidR="00253F44">
        <w:t xml:space="preserve">sues around co-ordination of the Grow Wellington and Wellington City Council </w:t>
      </w:r>
      <w:r w:rsidR="003E7C76">
        <w:t xml:space="preserve">(WCC) </w:t>
      </w:r>
      <w:r w:rsidR="00863521">
        <w:t>efforts in the focus area ‘a</w:t>
      </w:r>
      <w:r w:rsidR="00863521" w:rsidRPr="0008559D">
        <w:t>ttracting business, investment and talent</w:t>
      </w:r>
      <w:r w:rsidR="00863521">
        <w:t>’. WCC has proposed a</w:t>
      </w:r>
      <w:r w:rsidR="003E7C76">
        <w:t xml:space="preserve"> merger of Grow Wellington with WCC tourism and </w:t>
      </w:r>
      <w:r w:rsidR="00863521">
        <w:t xml:space="preserve">major </w:t>
      </w:r>
      <w:r w:rsidR="003E7C76">
        <w:t xml:space="preserve">event promotion </w:t>
      </w:r>
      <w:r w:rsidR="00863521">
        <w:t xml:space="preserve">entities </w:t>
      </w:r>
      <w:r w:rsidR="003E7C76">
        <w:t>into a regional economic development agency. The new entity</w:t>
      </w:r>
      <w:r w:rsidR="00104AA3">
        <w:t>,</w:t>
      </w:r>
      <w:r w:rsidR="003E7C76">
        <w:t xml:space="preserve"> WREDA would include the following</w:t>
      </w:r>
      <w:r w:rsidR="00863521">
        <w:t xml:space="preserve"> entities</w:t>
      </w:r>
      <w:r w:rsidR="003E7C76">
        <w:t>:</w:t>
      </w:r>
    </w:p>
    <w:p w:rsidR="003E7C76" w:rsidRDefault="003E7C76" w:rsidP="003E7C76">
      <w:pPr>
        <w:pStyle w:val="Bullet"/>
      </w:pPr>
      <w:r>
        <w:t>Grow Wellington</w:t>
      </w:r>
    </w:p>
    <w:p w:rsidR="00962D40" w:rsidRDefault="003E7C76" w:rsidP="003E7C76">
      <w:pPr>
        <w:pStyle w:val="Bullet"/>
      </w:pPr>
      <w:r>
        <w:t>Partnership Wellington Trust (Pos</w:t>
      </w:r>
      <w:r w:rsidR="00863521">
        <w:t>i</w:t>
      </w:r>
      <w:r>
        <w:t>tively Wellingto</w:t>
      </w:r>
      <w:r w:rsidR="00863521">
        <w:t>n</w:t>
      </w:r>
      <w:r>
        <w:t xml:space="preserve"> Touri</w:t>
      </w:r>
      <w:r w:rsidR="00863521">
        <w:t>s</w:t>
      </w:r>
      <w:r>
        <w:t>m</w:t>
      </w:r>
      <w:r w:rsidR="00863521">
        <w:t>)</w:t>
      </w:r>
    </w:p>
    <w:p w:rsidR="00863521" w:rsidRDefault="00863521" w:rsidP="003E7C76">
      <w:pPr>
        <w:pStyle w:val="Bullet"/>
      </w:pPr>
      <w:r>
        <w:t xml:space="preserve">Wellington Venues Limited </w:t>
      </w:r>
    </w:p>
    <w:p w:rsidR="00863521" w:rsidRDefault="00863521" w:rsidP="003E7C76">
      <w:pPr>
        <w:pStyle w:val="Bullet"/>
      </w:pPr>
      <w:r>
        <w:t>WCC Events Team</w:t>
      </w:r>
    </w:p>
    <w:p w:rsidR="00863521" w:rsidRDefault="00863521" w:rsidP="00863521">
      <w:pPr>
        <w:pStyle w:val="BodyText"/>
      </w:pPr>
      <w:r>
        <w:t>The governance of WREDA would be based on a two tier model with:</w:t>
      </w:r>
    </w:p>
    <w:p w:rsidR="00863521" w:rsidRDefault="00863521" w:rsidP="00863521">
      <w:pPr>
        <w:pStyle w:val="Bullet"/>
      </w:pPr>
      <w:r>
        <w:t>political oversight provided by a restructured WRS committee comprising:</w:t>
      </w:r>
    </w:p>
    <w:p w:rsidR="00863521" w:rsidRDefault="00863521" w:rsidP="00863521">
      <w:pPr>
        <w:pStyle w:val="Bullet2ndlevel"/>
      </w:pPr>
      <w:r>
        <w:t>four representatives from WCC</w:t>
      </w:r>
    </w:p>
    <w:p w:rsidR="00863521" w:rsidRDefault="00863521" w:rsidP="00863521">
      <w:pPr>
        <w:pStyle w:val="Bullet2ndlevel"/>
      </w:pPr>
      <w:r>
        <w:t xml:space="preserve">one representative from each of Lower Hutt City, Upper Hutt City, Porirua City, Greater Wellington Regional and </w:t>
      </w:r>
      <w:r w:rsidR="00C324D9">
        <w:t>Kaptiti</w:t>
      </w:r>
      <w:r>
        <w:t xml:space="preserve"> Coast District Councils</w:t>
      </w:r>
    </w:p>
    <w:p w:rsidR="00863521" w:rsidRDefault="00642920" w:rsidP="00863521">
      <w:pPr>
        <w:pStyle w:val="Bullet2ndlevel"/>
      </w:pPr>
      <w:r>
        <w:t>one representative from the three Wairarapa Councils</w:t>
      </w:r>
    </w:p>
    <w:p w:rsidR="00642920" w:rsidRDefault="00A47A10" w:rsidP="00642920">
      <w:pPr>
        <w:pStyle w:val="Bullet"/>
      </w:pPr>
      <w:r>
        <w:t>governance of operations provided by an independent board of eight directors, appointed for their specific business expertise and experience.</w:t>
      </w:r>
    </w:p>
    <w:p w:rsidR="00104AA3" w:rsidRDefault="00A47A10" w:rsidP="00A47A10">
      <w:pPr>
        <w:pStyle w:val="BodyText"/>
      </w:pPr>
      <w:r>
        <w:t>WREDA would be funded by the WCC and the existing WRS funding for a period of 5 years. The proposal anticipates that this funding would be augmented by funding from other sources as shown in the following table.</w:t>
      </w:r>
      <w:r w:rsidR="00BF3C1F">
        <w:t xml:space="preserve"> As part of the WREDA proposal WCC have indicated that they will be seeking either greater value for or a reduction in the amount of the regional WRS rate that is received by the GRWC (currently $0.6 million) in return for o</w:t>
      </w:r>
      <w:r w:rsidR="00104AA3">
        <w:t>perating the office of the WRS.</w:t>
      </w:r>
    </w:p>
    <w:p w:rsidR="00104AA3" w:rsidRDefault="00104AA3">
      <w:pPr>
        <w:spacing w:line="240" w:lineRule="auto"/>
        <w:rPr>
          <w:sz w:val="22"/>
          <w:szCs w:val="22"/>
        </w:rPr>
      </w:pPr>
      <w:r>
        <w:br w:type="page"/>
      </w:r>
    </w:p>
    <w:p w:rsidR="00A47A10" w:rsidRPr="00D42C90" w:rsidRDefault="00A47A10" w:rsidP="00A47A10">
      <w:pPr>
        <w:pStyle w:val="Caption"/>
      </w:pPr>
      <w:bookmarkStart w:id="14" w:name="_Toc397342150"/>
      <w:r>
        <w:lastRenderedPageBreak/>
        <w:t xml:space="preserve">Table </w:t>
      </w:r>
      <w:r w:rsidR="009B125D">
        <w:fldChar w:fldCharType="begin"/>
      </w:r>
      <w:r w:rsidR="009B125D">
        <w:instrText xml:space="preserve"> SEQ Table \* ARABIC </w:instrText>
      </w:r>
      <w:r w:rsidR="009B125D">
        <w:fldChar w:fldCharType="separate"/>
      </w:r>
      <w:r>
        <w:rPr>
          <w:noProof/>
        </w:rPr>
        <w:t>2</w:t>
      </w:r>
      <w:r w:rsidR="009B125D">
        <w:rPr>
          <w:noProof/>
        </w:rPr>
        <w:fldChar w:fldCharType="end"/>
      </w:r>
      <w:r>
        <w:t xml:space="preserve"> WREDA funding proposal</w:t>
      </w:r>
      <w:bookmarkEnd w:id="14"/>
    </w:p>
    <w:p w:rsidR="00A47A10" w:rsidRDefault="00A47A10" w:rsidP="00A47A10">
      <w:pPr>
        <w:pStyle w:val="Tablesubheading"/>
      </w:pPr>
      <w:r>
        <w:t>Annual funding for year ended June 2015 ($000)</w:t>
      </w:r>
    </w:p>
    <w:tbl>
      <w:tblPr>
        <w:tblStyle w:val="NZIERTable"/>
        <w:tblW w:w="0" w:type="auto"/>
        <w:tblLook w:val="04A0" w:firstRow="1" w:lastRow="0" w:firstColumn="1" w:lastColumn="0" w:noHBand="0" w:noVBand="1"/>
      </w:tblPr>
      <w:tblGrid>
        <w:gridCol w:w="1701"/>
        <w:gridCol w:w="1701"/>
        <w:gridCol w:w="1701"/>
        <w:gridCol w:w="1701"/>
      </w:tblGrid>
      <w:tr w:rsidR="00A47A10" w:rsidRPr="00E6399E" w:rsidTr="0077166B">
        <w:trPr>
          <w:cnfStyle w:val="100000000000" w:firstRow="1" w:lastRow="0" w:firstColumn="0" w:lastColumn="0" w:oddVBand="0" w:evenVBand="0" w:oddHBand="0" w:evenHBand="0" w:firstRowFirstColumn="0" w:firstRowLastColumn="0" w:lastRowFirstColumn="0" w:lastRowLastColumn="0"/>
        </w:trPr>
        <w:tc>
          <w:tcPr>
            <w:tcW w:w="1701" w:type="dxa"/>
          </w:tcPr>
          <w:p w:rsidR="00A47A10" w:rsidRPr="004D7536" w:rsidRDefault="00A47A10" w:rsidP="0077166B">
            <w:pPr>
              <w:rPr>
                <w:rFonts w:cstheme="minorHAnsi"/>
                <w:b/>
                <w:szCs w:val="18"/>
              </w:rPr>
            </w:pPr>
            <w:r>
              <w:rPr>
                <w:rFonts w:cstheme="minorHAnsi"/>
                <w:b/>
                <w:szCs w:val="18"/>
              </w:rPr>
              <w:t>Council</w:t>
            </w:r>
          </w:p>
        </w:tc>
        <w:tc>
          <w:tcPr>
            <w:tcW w:w="1701" w:type="dxa"/>
          </w:tcPr>
          <w:p w:rsidR="00A47A10" w:rsidRPr="004D7536" w:rsidRDefault="00A47A10" w:rsidP="0077166B">
            <w:pPr>
              <w:rPr>
                <w:rFonts w:cstheme="minorHAnsi"/>
                <w:b/>
                <w:szCs w:val="18"/>
              </w:rPr>
            </w:pPr>
            <w:r>
              <w:rPr>
                <w:rFonts w:cstheme="minorHAnsi"/>
                <w:b/>
                <w:szCs w:val="18"/>
              </w:rPr>
              <w:t>Council funding</w:t>
            </w:r>
          </w:p>
        </w:tc>
        <w:tc>
          <w:tcPr>
            <w:tcW w:w="1701" w:type="dxa"/>
          </w:tcPr>
          <w:p w:rsidR="00A47A10" w:rsidRPr="004D7536" w:rsidRDefault="00A47A10" w:rsidP="0077166B">
            <w:pPr>
              <w:rPr>
                <w:rFonts w:cstheme="minorHAnsi"/>
                <w:b/>
                <w:szCs w:val="18"/>
              </w:rPr>
            </w:pPr>
            <w:r>
              <w:rPr>
                <w:rFonts w:cstheme="minorHAnsi"/>
                <w:b/>
                <w:szCs w:val="18"/>
              </w:rPr>
              <w:t>Other sources</w:t>
            </w:r>
          </w:p>
        </w:tc>
        <w:tc>
          <w:tcPr>
            <w:tcW w:w="1701" w:type="dxa"/>
          </w:tcPr>
          <w:p w:rsidR="00A47A10" w:rsidRPr="004D7536" w:rsidRDefault="00A47A10" w:rsidP="0077166B">
            <w:pPr>
              <w:rPr>
                <w:rFonts w:cstheme="minorHAnsi"/>
                <w:b/>
                <w:szCs w:val="18"/>
              </w:rPr>
            </w:pPr>
            <w:r>
              <w:rPr>
                <w:rFonts w:cstheme="minorHAnsi"/>
                <w:b/>
                <w:szCs w:val="18"/>
              </w:rPr>
              <w:t>Total</w:t>
            </w:r>
          </w:p>
        </w:tc>
      </w:tr>
      <w:tr w:rsidR="00A47A10" w:rsidRPr="00E163F2" w:rsidTr="00BF3C1F">
        <w:tc>
          <w:tcPr>
            <w:tcW w:w="1701" w:type="dxa"/>
          </w:tcPr>
          <w:p w:rsidR="00A47A10" w:rsidRPr="00F90AA7" w:rsidRDefault="00A47A10" w:rsidP="0077166B">
            <w:pPr>
              <w:pStyle w:val="Tabletext"/>
            </w:pPr>
            <w:r>
              <w:t>WCC</w:t>
            </w:r>
          </w:p>
        </w:tc>
        <w:tc>
          <w:tcPr>
            <w:tcW w:w="1701" w:type="dxa"/>
            <w:vAlign w:val="center"/>
          </w:tcPr>
          <w:p w:rsidR="00A47A10" w:rsidRPr="00F90AA7" w:rsidRDefault="00A47A10" w:rsidP="00BF3C1F">
            <w:pPr>
              <w:pStyle w:val="Tabletext"/>
              <w:jc w:val="right"/>
            </w:pPr>
            <w:r>
              <w:t>16,100</w:t>
            </w:r>
          </w:p>
        </w:tc>
        <w:tc>
          <w:tcPr>
            <w:tcW w:w="1701" w:type="dxa"/>
            <w:vAlign w:val="center"/>
          </w:tcPr>
          <w:p w:rsidR="00A47A10" w:rsidRPr="00F90AA7" w:rsidRDefault="00A47A10" w:rsidP="00BF3C1F">
            <w:pPr>
              <w:pStyle w:val="Tabletext"/>
              <w:jc w:val="right"/>
            </w:pPr>
            <w:r>
              <w:t>20,600</w:t>
            </w:r>
          </w:p>
        </w:tc>
        <w:tc>
          <w:tcPr>
            <w:tcW w:w="1701" w:type="dxa"/>
            <w:vAlign w:val="center"/>
          </w:tcPr>
          <w:p w:rsidR="00A47A10" w:rsidRPr="00BF3C1F" w:rsidRDefault="00A47A10" w:rsidP="00BF3C1F">
            <w:pPr>
              <w:pStyle w:val="Tabletext"/>
              <w:jc w:val="right"/>
              <w:rPr>
                <w:b/>
              </w:rPr>
            </w:pPr>
            <w:r w:rsidRPr="00BF3C1F">
              <w:rPr>
                <w:b/>
              </w:rPr>
              <w:t>36,700</w:t>
            </w:r>
          </w:p>
        </w:tc>
      </w:tr>
      <w:tr w:rsidR="00A47A10" w:rsidRPr="00E163F2" w:rsidTr="00BF3C1F">
        <w:tc>
          <w:tcPr>
            <w:tcW w:w="1701" w:type="dxa"/>
          </w:tcPr>
          <w:p w:rsidR="00A47A10" w:rsidRPr="00F90AA7" w:rsidRDefault="00BF3C1F" w:rsidP="0077166B">
            <w:pPr>
              <w:pStyle w:val="Tabletext"/>
            </w:pPr>
            <w:r>
              <w:t>GRWC</w:t>
            </w:r>
          </w:p>
        </w:tc>
        <w:tc>
          <w:tcPr>
            <w:tcW w:w="1701" w:type="dxa"/>
            <w:vAlign w:val="center"/>
          </w:tcPr>
          <w:p w:rsidR="00A47A10" w:rsidRPr="00F90AA7" w:rsidRDefault="00A47A10" w:rsidP="00BF3C1F">
            <w:pPr>
              <w:pStyle w:val="Tabletext"/>
              <w:jc w:val="right"/>
            </w:pPr>
            <w:r>
              <w:t>4,000</w:t>
            </w:r>
          </w:p>
        </w:tc>
        <w:tc>
          <w:tcPr>
            <w:tcW w:w="1701" w:type="dxa"/>
            <w:vAlign w:val="center"/>
          </w:tcPr>
          <w:p w:rsidR="00A47A10" w:rsidRPr="00F90AA7" w:rsidRDefault="00A47A10" w:rsidP="00BF3C1F">
            <w:pPr>
              <w:pStyle w:val="Tabletext"/>
              <w:jc w:val="right"/>
            </w:pPr>
            <w:r>
              <w:t>2,100</w:t>
            </w:r>
          </w:p>
        </w:tc>
        <w:tc>
          <w:tcPr>
            <w:tcW w:w="1701" w:type="dxa"/>
            <w:vAlign w:val="center"/>
          </w:tcPr>
          <w:p w:rsidR="00A47A10" w:rsidRPr="00BF3C1F" w:rsidRDefault="00A47A10" w:rsidP="00BF3C1F">
            <w:pPr>
              <w:pStyle w:val="Tabletext"/>
              <w:jc w:val="right"/>
              <w:rPr>
                <w:b/>
              </w:rPr>
            </w:pPr>
            <w:r w:rsidRPr="00BF3C1F">
              <w:rPr>
                <w:b/>
              </w:rPr>
              <w:t>6,100</w:t>
            </w:r>
          </w:p>
        </w:tc>
      </w:tr>
      <w:tr w:rsidR="00A47A10" w:rsidRPr="00E163F2" w:rsidTr="00BF3C1F">
        <w:tc>
          <w:tcPr>
            <w:tcW w:w="1701" w:type="dxa"/>
          </w:tcPr>
          <w:p w:rsidR="00A47A10" w:rsidRPr="00F90AA7" w:rsidRDefault="00BF3C1F" w:rsidP="0077166B">
            <w:pPr>
              <w:pStyle w:val="Tabletext"/>
            </w:pPr>
            <w:r>
              <w:t xml:space="preserve">Total </w:t>
            </w:r>
          </w:p>
        </w:tc>
        <w:tc>
          <w:tcPr>
            <w:tcW w:w="1701" w:type="dxa"/>
            <w:vAlign w:val="center"/>
          </w:tcPr>
          <w:p w:rsidR="00A47A10" w:rsidRPr="00BF3C1F" w:rsidRDefault="00A47A10" w:rsidP="00BF3C1F">
            <w:pPr>
              <w:pStyle w:val="Tabletext"/>
              <w:jc w:val="right"/>
              <w:rPr>
                <w:b/>
              </w:rPr>
            </w:pPr>
            <w:r w:rsidRPr="00BF3C1F">
              <w:rPr>
                <w:b/>
              </w:rPr>
              <w:t>20,100</w:t>
            </w:r>
          </w:p>
        </w:tc>
        <w:tc>
          <w:tcPr>
            <w:tcW w:w="1701" w:type="dxa"/>
            <w:vAlign w:val="center"/>
          </w:tcPr>
          <w:p w:rsidR="00A47A10" w:rsidRPr="00BF3C1F" w:rsidRDefault="00A47A10" w:rsidP="00BF3C1F">
            <w:pPr>
              <w:pStyle w:val="Tabletext"/>
              <w:jc w:val="right"/>
              <w:rPr>
                <w:b/>
              </w:rPr>
            </w:pPr>
            <w:r w:rsidRPr="00BF3C1F">
              <w:rPr>
                <w:b/>
              </w:rPr>
              <w:t>22,700</w:t>
            </w:r>
          </w:p>
        </w:tc>
        <w:tc>
          <w:tcPr>
            <w:tcW w:w="1701" w:type="dxa"/>
            <w:vAlign w:val="center"/>
          </w:tcPr>
          <w:p w:rsidR="00A47A10" w:rsidRPr="00BF3C1F" w:rsidRDefault="00A47A10" w:rsidP="00BF3C1F">
            <w:pPr>
              <w:pStyle w:val="Tabletext"/>
              <w:jc w:val="right"/>
              <w:rPr>
                <w:b/>
              </w:rPr>
            </w:pPr>
            <w:r w:rsidRPr="00BF3C1F">
              <w:rPr>
                <w:b/>
              </w:rPr>
              <w:t>42,800</w:t>
            </w:r>
          </w:p>
        </w:tc>
      </w:tr>
    </w:tbl>
    <w:p w:rsidR="00A47A10" w:rsidRDefault="00A47A10" w:rsidP="00A47A10">
      <w:pPr>
        <w:pStyle w:val="TableSource"/>
      </w:pPr>
      <w:r>
        <w:t>Source: WREDA proposal released for public consultation</w:t>
      </w:r>
    </w:p>
    <w:p w:rsidR="00E466B7" w:rsidRDefault="00E466B7" w:rsidP="00A47A10">
      <w:pPr>
        <w:pStyle w:val="BodyText"/>
      </w:pPr>
      <w:r>
        <w:t>(We have not been able to confirm the nature of the ‘other sources’ of funding listed in the above table.)</w:t>
      </w:r>
    </w:p>
    <w:p w:rsidR="00104AA3" w:rsidRDefault="00E466B7" w:rsidP="00A47A10">
      <w:pPr>
        <w:pStyle w:val="BodyText"/>
      </w:pPr>
      <w:r>
        <w:t xml:space="preserve"> </w:t>
      </w:r>
      <w:r w:rsidR="00BF3C1F">
        <w:t xml:space="preserve">At face value the WREDA proposal reallocates the bulk of WCC business development spending to an agency that has a regional focus </w:t>
      </w:r>
      <w:r w:rsidR="00104AA3">
        <w:t xml:space="preserve">therefore </w:t>
      </w:r>
      <w:r w:rsidR="00BF3C1F">
        <w:t xml:space="preserve">greater capacity to partner with </w:t>
      </w:r>
      <w:r w:rsidR="00104AA3">
        <w:t>central government and large businesses than individual councils. Also the proposed funding arrangement gives WREDA</w:t>
      </w:r>
      <w:r w:rsidR="00BF3C1F">
        <w:t xml:space="preserve"> </w:t>
      </w:r>
      <w:r>
        <w:t xml:space="preserve">a longer term funding commitment </w:t>
      </w:r>
      <w:r w:rsidR="00BF3C1F">
        <w:t>than is provided under the current long term plan process</w:t>
      </w:r>
      <w:r>
        <w:t xml:space="preserve"> (which councils can review annually)</w:t>
      </w:r>
      <w:r w:rsidR="00797BA0">
        <w:t xml:space="preserve">. </w:t>
      </w:r>
      <w:r>
        <w:t xml:space="preserve">This increased certainty about funding levels should enable WREDA to plan longer term initiatives with more certainty than </w:t>
      </w:r>
      <w:r w:rsidR="00400985">
        <w:t>under the current funding arrangements.</w:t>
      </w:r>
    </w:p>
    <w:p w:rsidR="00A47A10" w:rsidRDefault="00797BA0" w:rsidP="00A47A10">
      <w:pPr>
        <w:pStyle w:val="BodyText"/>
      </w:pPr>
      <w:r>
        <w:t xml:space="preserve">The </w:t>
      </w:r>
      <w:r w:rsidR="00104AA3">
        <w:t xml:space="preserve">WREDA </w:t>
      </w:r>
      <w:r>
        <w:t xml:space="preserve">proposal does not </w:t>
      </w:r>
      <w:r w:rsidR="00400985">
        <w:t>cover</w:t>
      </w:r>
      <w:r>
        <w:t xml:space="preserve"> an estimated</w:t>
      </w:r>
      <w:r w:rsidR="003C6028">
        <w:t xml:space="preserve"> $</w:t>
      </w:r>
      <w:r w:rsidR="00C63F4D">
        <w:t>12.6</w:t>
      </w:r>
      <w:r w:rsidR="003C6028">
        <w:t xml:space="preserve"> million of </w:t>
      </w:r>
      <w:r w:rsidR="00104AA3">
        <w:t xml:space="preserve">council economic </w:t>
      </w:r>
      <w:r w:rsidR="003C6028">
        <w:t>development spending</w:t>
      </w:r>
      <w:r>
        <w:t>:</w:t>
      </w:r>
    </w:p>
    <w:p w:rsidR="00797BA0" w:rsidRDefault="00797BA0" w:rsidP="00797BA0">
      <w:pPr>
        <w:pStyle w:val="Bullet"/>
      </w:pPr>
      <w:r>
        <w:t>WCC business development spending of at least</w:t>
      </w:r>
      <w:r>
        <w:rPr>
          <w:rStyle w:val="FootnoteReference"/>
        </w:rPr>
        <w:footnoteReference w:id="5"/>
      </w:r>
      <w:r w:rsidR="003C6028">
        <w:t xml:space="preserve"> $3</w:t>
      </w:r>
      <w:r w:rsidR="00C63F4D">
        <w:t>.7</w:t>
      </w:r>
      <w:r w:rsidR="003C6028">
        <w:t xml:space="preserve"> million</w:t>
      </w:r>
    </w:p>
    <w:p w:rsidR="003C6028" w:rsidRDefault="003C6028" w:rsidP="00797BA0">
      <w:pPr>
        <w:pStyle w:val="Bullet"/>
      </w:pPr>
      <w:r>
        <w:t>business development spending by other councils of about $8.</w:t>
      </w:r>
      <w:r w:rsidR="00C63F4D">
        <w:t>9</w:t>
      </w:r>
      <w:r>
        <w:t xml:space="preserve"> million.</w:t>
      </w:r>
    </w:p>
    <w:p w:rsidR="003C6028" w:rsidRDefault="003C6028" w:rsidP="003C6028">
      <w:pPr>
        <w:pStyle w:val="BodyText"/>
      </w:pPr>
      <w:r>
        <w:t>The WREDA proposal was launched with the support of the Mayoral forum. The period for public consultation on the WREDA proposal finished on 6 August and we understand the majority of the feedback was positive. WCC staff that we spoke to expect the proposal to be approved later this year.</w:t>
      </w:r>
    </w:p>
    <w:p w:rsidR="009456F4" w:rsidRDefault="009456F4" w:rsidP="009456F4">
      <w:pPr>
        <w:pStyle w:val="Heading1"/>
      </w:pPr>
      <w:bookmarkStart w:id="15" w:name="_Toc397342143"/>
      <w:r>
        <w:lastRenderedPageBreak/>
        <w:t>Reasonable practicable options</w:t>
      </w:r>
      <w:bookmarkEnd w:id="15"/>
    </w:p>
    <w:p w:rsidR="009456F4" w:rsidRDefault="009456F4" w:rsidP="009456F4">
      <w:pPr>
        <w:pStyle w:val="Heading2"/>
      </w:pPr>
      <w:bookmarkStart w:id="16" w:name="_Toc397342144"/>
      <w:r>
        <w:t>What are they</w:t>
      </w:r>
      <w:r w:rsidR="00A40F23">
        <w:t>?</w:t>
      </w:r>
      <w:bookmarkEnd w:id="16"/>
    </w:p>
    <w:p w:rsidR="001C5766" w:rsidRDefault="003C6028" w:rsidP="003C6028">
      <w:pPr>
        <w:pStyle w:val="BodyText"/>
      </w:pPr>
      <w:r>
        <w:t xml:space="preserve">The project manager for this evaluation has identified </w:t>
      </w:r>
      <w:r w:rsidR="006769D9">
        <w:t>nin</w:t>
      </w:r>
      <w:r>
        <w:t>e reasonably practicable options for the evaluation of the benefits of the council merger proposal.</w:t>
      </w:r>
      <w:r w:rsidR="001C5766">
        <w:t xml:space="preserve"> For economic development spending we suggest that the existence of local boards is unlikely to have a material impact on how a single Wellington Council would </w:t>
      </w:r>
      <w:r w:rsidR="004E7F20">
        <w:t>allocate regional business development spending.</w:t>
      </w:r>
    </w:p>
    <w:p w:rsidR="0069062C" w:rsidRDefault="004E7F20" w:rsidP="0069062C">
      <w:pPr>
        <w:pStyle w:val="BodyText"/>
      </w:pPr>
      <w:r>
        <w:t>T</w:t>
      </w:r>
      <w:r w:rsidR="001C5766">
        <w:t xml:space="preserve">he likely approval of the WREDA proposal </w:t>
      </w:r>
      <w:r>
        <w:t>modifies t</w:t>
      </w:r>
      <w:r w:rsidR="001C5766">
        <w:t xml:space="preserve">he range of practicable options. On the basis that the WREDA proposal is approved this would become the new status quo. The reasonable </w:t>
      </w:r>
      <w:r>
        <w:t xml:space="preserve">practicable options would then collapse to how individual councils would </w:t>
      </w:r>
      <w:r w:rsidR="0069062C">
        <w:t>consolidate</w:t>
      </w:r>
      <w:r>
        <w:t xml:space="preserve"> the estimated $11.</w:t>
      </w:r>
      <w:r w:rsidR="00104AA3">
        <w:t>8</w:t>
      </w:r>
      <w:r>
        <w:t xml:space="preserve"> million of economic development spend</w:t>
      </w:r>
      <w:r w:rsidR="00104AA3">
        <w:t>ing</w:t>
      </w:r>
      <w:r>
        <w:t xml:space="preserve"> not allocated to WREDA </w:t>
      </w:r>
      <w:r w:rsidR="0069062C">
        <w:t xml:space="preserve">across territorial authorities </w:t>
      </w:r>
      <w:r>
        <w:t>either</w:t>
      </w:r>
      <w:r w:rsidR="0069062C">
        <w:t xml:space="preserve"> into:</w:t>
      </w:r>
    </w:p>
    <w:p w:rsidR="006F0CAB" w:rsidRDefault="004E7F20" w:rsidP="0069062C">
      <w:pPr>
        <w:pStyle w:val="Bullet"/>
      </w:pPr>
      <w:r>
        <w:t>clusters such as Lower Hutt/Upper Hutt, Porirua/Kapiti Coast</w:t>
      </w:r>
      <w:r w:rsidR="00D6778A">
        <w:t>, Wairarapa councils</w:t>
      </w:r>
    </w:p>
    <w:p w:rsidR="004E7F20" w:rsidRDefault="004E7F20" w:rsidP="0069062C">
      <w:pPr>
        <w:pStyle w:val="Bullet"/>
      </w:pPr>
      <w:r>
        <w:t>WREDA</w:t>
      </w:r>
      <w:r w:rsidR="00D6778A">
        <w:t xml:space="preserve"> (which makes the reasonable practicable options of ‘stronger regional delivery’ and ‘one Wellington council’ equivalent for this evaluation</w:t>
      </w:r>
      <w:r w:rsidR="006769D9">
        <w:t>)</w:t>
      </w:r>
      <w:r w:rsidR="00D6778A">
        <w:t>.</w:t>
      </w:r>
    </w:p>
    <w:p w:rsidR="00D6778A" w:rsidRDefault="00D6778A" w:rsidP="00D6778A">
      <w:pPr>
        <w:pStyle w:val="BodyText"/>
      </w:pPr>
      <w:r>
        <w:t>Based on the above discussion the reasonable practicable options for the consolidation of business development spending collapse to:</w:t>
      </w:r>
    </w:p>
    <w:p w:rsidR="00D6778A" w:rsidRDefault="00D6778A" w:rsidP="00D6778A">
      <w:pPr>
        <w:pStyle w:val="Bullet"/>
      </w:pPr>
      <w:r>
        <w:t>modified status quo – WREDA is established and the remaining councils continue to spend their economic development budgets independently</w:t>
      </w:r>
    </w:p>
    <w:p w:rsidR="00D6778A" w:rsidRDefault="00D6778A" w:rsidP="00D6778A">
      <w:pPr>
        <w:pStyle w:val="Bullet"/>
      </w:pPr>
      <w:r>
        <w:t xml:space="preserve">modified status quo with clusters – WREDA </w:t>
      </w:r>
      <w:r w:rsidR="004E0FCC">
        <w:t>is established and the remaining councils form clusters to co-ordinate the spending of their economic development budgets</w:t>
      </w:r>
    </w:p>
    <w:p w:rsidR="004E0FCC" w:rsidRDefault="004E0FCC" w:rsidP="00D6778A">
      <w:pPr>
        <w:pStyle w:val="Bullet"/>
      </w:pPr>
      <w:r>
        <w:t>all of the economic development spending is co-ordinated through WREDA</w:t>
      </w:r>
      <w:r w:rsidR="00104AA3">
        <w:t>.</w:t>
      </w:r>
    </w:p>
    <w:p w:rsidR="004E7F20" w:rsidRDefault="004E7F20" w:rsidP="004E7F20">
      <w:pPr>
        <w:pStyle w:val="Heading2"/>
      </w:pPr>
      <w:bookmarkStart w:id="17" w:name="_Toc397342145"/>
      <w:r>
        <w:t>In-principle benefits</w:t>
      </w:r>
      <w:bookmarkEnd w:id="17"/>
    </w:p>
    <w:p w:rsidR="004E7F20" w:rsidRDefault="004E7F20" w:rsidP="004E7F20">
      <w:pPr>
        <w:pStyle w:val="BodyText"/>
      </w:pPr>
      <w:r>
        <w:t xml:space="preserve">The </w:t>
      </w:r>
      <w:r w:rsidR="00C13396">
        <w:t>primary ‘</w:t>
      </w:r>
      <w:r>
        <w:t>in-principle</w:t>
      </w:r>
      <w:r w:rsidR="00C13396">
        <w:t>’</w:t>
      </w:r>
      <w:r>
        <w:t xml:space="preserve"> benefits of the merger of business development spending into a regional fund potentially are:</w:t>
      </w:r>
    </w:p>
    <w:p w:rsidR="004E7F20" w:rsidRDefault="00C13396" w:rsidP="004E7F20">
      <w:pPr>
        <w:pStyle w:val="Bullet"/>
      </w:pPr>
      <w:r>
        <w:t>i</w:t>
      </w:r>
      <w:r w:rsidR="004E7F20">
        <w:t xml:space="preserve">ncreased capacity to obtain co-funding from central government and the private sector </w:t>
      </w:r>
      <w:r w:rsidR="00762F97">
        <w:t>by being a credible regional partner</w:t>
      </w:r>
      <w:r w:rsidR="00762F97">
        <w:rPr>
          <w:rStyle w:val="FootnoteReference"/>
        </w:rPr>
        <w:footnoteReference w:id="6"/>
      </w:r>
    </w:p>
    <w:p w:rsidR="00C13396" w:rsidRDefault="00C13396" w:rsidP="004E7F20">
      <w:pPr>
        <w:pStyle w:val="Bullet"/>
      </w:pPr>
      <w:r>
        <w:t>a</w:t>
      </w:r>
      <w:r w:rsidR="0077166B">
        <w:t>voidance of</w:t>
      </w:r>
      <w:r>
        <w:t xml:space="preserve"> inefficiencies from:</w:t>
      </w:r>
    </w:p>
    <w:p w:rsidR="00C13396" w:rsidRDefault="00C13396" w:rsidP="00C13396">
      <w:pPr>
        <w:pStyle w:val="Bullet2ndlevel"/>
      </w:pPr>
      <w:r>
        <w:t xml:space="preserve">bidding wars to attract business from </w:t>
      </w:r>
      <w:r w:rsidR="00104AA3">
        <w:t xml:space="preserve">one </w:t>
      </w:r>
      <w:r>
        <w:t>territorial authority in the region to another</w:t>
      </w:r>
    </w:p>
    <w:p w:rsidR="004E7F20" w:rsidRDefault="00C13396" w:rsidP="00C13396">
      <w:pPr>
        <w:pStyle w:val="Bullet2ndlevel"/>
      </w:pPr>
      <w:r>
        <w:lastRenderedPageBreak/>
        <w:t>duplicated spending on attempting to promote individual territorial authorities to communities and businesses outside the region such as sister city relationships, trade missions etc.</w:t>
      </w:r>
    </w:p>
    <w:p w:rsidR="00C13396" w:rsidRDefault="00C13396" w:rsidP="00C13396">
      <w:pPr>
        <w:pStyle w:val="BodyText"/>
      </w:pPr>
      <w:r>
        <w:t>Secondary in-principle benefits include:</w:t>
      </w:r>
    </w:p>
    <w:p w:rsidR="00C13396" w:rsidRDefault="00C13396" w:rsidP="00C13396">
      <w:pPr>
        <w:pStyle w:val="Bullet"/>
      </w:pPr>
      <w:r>
        <w:t>improved capacity – a larger organisation would be expected to have more and better quality resources to apply to regional development projects</w:t>
      </w:r>
    </w:p>
    <w:p w:rsidR="00C13396" w:rsidRDefault="00C13396" w:rsidP="00C13396">
      <w:pPr>
        <w:pStyle w:val="Bullet"/>
      </w:pPr>
      <w:r>
        <w:t>simplification of governance structure and measures of success</w:t>
      </w:r>
      <w:r w:rsidR="00104AA3">
        <w:t>.</w:t>
      </w:r>
    </w:p>
    <w:p w:rsidR="00C13396" w:rsidRDefault="00960CB8" w:rsidP="00C13396">
      <w:pPr>
        <w:pStyle w:val="BodyText"/>
      </w:pPr>
      <w:r>
        <w:t xml:space="preserve">We cannot quantify these benefits with the information available. In the following section we provide a qualitative assessment of the likely benefit of </w:t>
      </w:r>
      <w:r w:rsidR="00F91C1B">
        <w:t xml:space="preserve">our suggested </w:t>
      </w:r>
      <w:r>
        <w:t>reasonable practicable options and the expenditure base to which that these benefits might apply.</w:t>
      </w:r>
    </w:p>
    <w:p w:rsidR="00775661" w:rsidRDefault="00775661" w:rsidP="00775661">
      <w:pPr>
        <w:pStyle w:val="Heading2"/>
      </w:pPr>
      <w:bookmarkStart w:id="18" w:name="_Toc397342146"/>
      <w:r>
        <w:t>In-principle risks</w:t>
      </w:r>
      <w:bookmarkEnd w:id="18"/>
    </w:p>
    <w:p w:rsidR="00A40F23" w:rsidRDefault="000B298B" w:rsidP="00C13396">
      <w:pPr>
        <w:pStyle w:val="BodyText"/>
      </w:pPr>
      <w:r>
        <w:t>Consolidation of individual council business development initiatives into a single regional entity carries two main in-principle risks:</w:t>
      </w:r>
    </w:p>
    <w:p w:rsidR="000B298B" w:rsidRDefault="000B298B" w:rsidP="000B298B">
      <w:pPr>
        <w:pStyle w:val="Bullet"/>
      </w:pPr>
      <w:r>
        <w:t>reduced representation of local voice and reduced  efficiency and effectiveness of business development initiatives that require ‘local knowledge’</w:t>
      </w:r>
    </w:p>
    <w:p w:rsidR="000B298B" w:rsidRDefault="000B298B" w:rsidP="000B298B">
      <w:pPr>
        <w:pStyle w:val="Bullet"/>
      </w:pPr>
      <w:r>
        <w:t xml:space="preserve">loss of contestable advice </w:t>
      </w:r>
      <w:r w:rsidR="00AC3231">
        <w:t>on approaches to business development due to the creation of a dominant single source of advice.</w:t>
      </w:r>
    </w:p>
    <w:p w:rsidR="00F7786C" w:rsidRDefault="005A419F" w:rsidP="00BF19E3">
      <w:pPr>
        <w:pStyle w:val="BodyText"/>
      </w:pPr>
      <w:r>
        <w:t>I</w:t>
      </w:r>
      <w:r w:rsidR="00AC3231">
        <w:t xml:space="preserve">n respect of representation of local voice </w:t>
      </w:r>
      <w:r w:rsidR="00BF19E3">
        <w:t xml:space="preserve">on local government we suggest the risk can be </w:t>
      </w:r>
      <w:r>
        <w:t>manag</w:t>
      </w:r>
      <w:r w:rsidR="00BF19E3">
        <w:t>ed by separ</w:t>
      </w:r>
      <w:r>
        <w:t>a</w:t>
      </w:r>
      <w:r w:rsidR="00BF19E3">
        <w:t>ting the question into two parts</w:t>
      </w:r>
      <w:r w:rsidR="00F7786C">
        <w:t>:</w:t>
      </w:r>
    </w:p>
    <w:p w:rsidR="00AC3231" w:rsidRDefault="00F7786C" w:rsidP="005A419F">
      <w:pPr>
        <w:pStyle w:val="Bullet"/>
      </w:pPr>
      <w:r>
        <w:t xml:space="preserve">what </w:t>
      </w:r>
      <w:r w:rsidR="00BF19E3">
        <w:t xml:space="preserve">characteristics </w:t>
      </w:r>
      <w:r>
        <w:t>sho</w:t>
      </w:r>
      <w:r w:rsidR="00BF19E3">
        <w:t>u</w:t>
      </w:r>
      <w:r>
        <w:t>ld business development activity</w:t>
      </w:r>
      <w:r w:rsidR="00BF19E3">
        <w:t xml:space="preserve"> have to be part of the WRS?</w:t>
      </w:r>
    </w:p>
    <w:p w:rsidR="00BF19E3" w:rsidRDefault="00BF19E3" w:rsidP="005A419F">
      <w:pPr>
        <w:pStyle w:val="Bullet"/>
      </w:pPr>
      <w:r>
        <w:t>how should business development activities currently provided by councils or requested by communities be assessed?</w:t>
      </w:r>
    </w:p>
    <w:p w:rsidR="005A419F" w:rsidRDefault="005A419F" w:rsidP="005A419F">
      <w:pPr>
        <w:pStyle w:val="BodyText"/>
      </w:pPr>
      <w:r>
        <w:t xml:space="preserve">The management of this issue should be part of the transition arrangements </w:t>
      </w:r>
      <w:r w:rsidR="00CD174C">
        <w:t>from the status quo to the preferred option (if the preferred option is not the status quo.)</w:t>
      </w:r>
    </w:p>
    <w:p w:rsidR="00CD174C" w:rsidRDefault="005A419F" w:rsidP="005A419F">
      <w:pPr>
        <w:pStyle w:val="BodyText"/>
      </w:pPr>
      <w:r>
        <w:t xml:space="preserve">In respect of the loss of contestable </w:t>
      </w:r>
      <w:r w:rsidR="00CD174C">
        <w:t xml:space="preserve">advice, we suggest </w:t>
      </w:r>
      <w:r w:rsidR="00333142">
        <w:t>that the risk is mitigated by the following</w:t>
      </w:r>
      <w:r w:rsidR="00CD174C">
        <w:t>:</w:t>
      </w:r>
    </w:p>
    <w:p w:rsidR="005A419F" w:rsidRDefault="00CD174C" w:rsidP="00CD174C">
      <w:pPr>
        <w:pStyle w:val="Bullet"/>
      </w:pPr>
      <w:r>
        <w:t>the governance arrangements proposed for WREDA</w:t>
      </w:r>
      <w:r w:rsidR="00333142">
        <w:t xml:space="preserve"> and </w:t>
      </w:r>
      <w:r>
        <w:t xml:space="preserve">the involvement of external partners </w:t>
      </w:r>
      <w:r w:rsidR="00333142">
        <w:t>to deliver the WRS provide a cross-check on performance of the entity implementing the WRS</w:t>
      </w:r>
    </w:p>
    <w:p w:rsidR="00333142" w:rsidRPr="004E7F20" w:rsidRDefault="00333142" w:rsidP="00CD174C">
      <w:pPr>
        <w:pStyle w:val="Bullet"/>
      </w:pPr>
      <w:r>
        <w:t>council(s) can easily obtain independent reviews of the entity implementing the WRS or require it to out-source tasks to other providers, or reset its objectives or orga</w:t>
      </w:r>
      <w:r w:rsidR="00845F28">
        <w:t>nisational structure</w:t>
      </w:r>
      <w:r>
        <w:t>.</w:t>
      </w:r>
    </w:p>
    <w:p w:rsidR="009456F4" w:rsidRDefault="009456F4" w:rsidP="009456F4">
      <w:pPr>
        <w:pStyle w:val="Heading2"/>
      </w:pPr>
      <w:bookmarkStart w:id="19" w:name="_Toc397342147"/>
      <w:r>
        <w:lastRenderedPageBreak/>
        <w:t>How do they compare</w:t>
      </w:r>
      <w:r w:rsidR="00A40F23">
        <w:t>?</w:t>
      </w:r>
      <w:bookmarkEnd w:id="19"/>
    </w:p>
    <w:p w:rsidR="004E0FCC" w:rsidRDefault="004E0FCC" w:rsidP="004E0FCC">
      <w:pPr>
        <w:pStyle w:val="Heading3"/>
      </w:pPr>
      <w:r>
        <w:t>Modified status quo</w:t>
      </w:r>
    </w:p>
    <w:p w:rsidR="00A40F23" w:rsidRDefault="004E0FCC" w:rsidP="00D6778A">
      <w:pPr>
        <w:pStyle w:val="BodyText"/>
      </w:pPr>
      <w:r>
        <w:t xml:space="preserve">The benefits of the modified status quo are covered in the discussion of the WREDA proposal and seem to centre on the expectation of increased match funding from the </w:t>
      </w:r>
      <w:r w:rsidR="00F91C1B">
        <w:t>central government and large businesses,</w:t>
      </w:r>
      <w:r>
        <w:t xml:space="preserve"> and a more co-ordinated approach to tourism promotion activity. </w:t>
      </w:r>
    </w:p>
    <w:p w:rsidR="00D6778A" w:rsidRDefault="004E0FCC" w:rsidP="00D6778A">
      <w:pPr>
        <w:pStyle w:val="BodyText"/>
      </w:pPr>
      <w:r>
        <w:t xml:space="preserve">We have not found any evidence of Grow Wellington and WCC bidding against each other to attract business or tourists and both of these organisations are large enough to already have capable teams. </w:t>
      </w:r>
      <w:r w:rsidR="00F91C1B">
        <w:t>Therefore we do not anticipate efficiency gains in these areas.</w:t>
      </w:r>
    </w:p>
    <w:p w:rsidR="004E0FCC" w:rsidRDefault="004E0FCC" w:rsidP="004E0FCC">
      <w:pPr>
        <w:pStyle w:val="Heading3"/>
      </w:pPr>
      <w:r>
        <w:t>Modified status quo with clusters</w:t>
      </w:r>
    </w:p>
    <w:p w:rsidR="004E0FCC" w:rsidRDefault="007152E4" w:rsidP="004E0FCC">
      <w:pPr>
        <w:pStyle w:val="BodyText"/>
      </w:pPr>
      <w:r>
        <w:t>The additional benefits from this proposal compared to the modified status quo are most likely to be avoidance of:</w:t>
      </w:r>
    </w:p>
    <w:p w:rsidR="007152E4" w:rsidRDefault="007152E4" w:rsidP="007152E4">
      <w:pPr>
        <w:pStyle w:val="Bullet"/>
      </w:pPr>
      <w:r>
        <w:t>the cost of competitive bidding for businesses between councils within the clusters</w:t>
      </w:r>
    </w:p>
    <w:p w:rsidR="007152E4" w:rsidRDefault="007152E4" w:rsidP="007152E4">
      <w:pPr>
        <w:pStyle w:val="Bullet"/>
      </w:pPr>
      <w:r>
        <w:t>duplication in tourism promotion spending.</w:t>
      </w:r>
    </w:p>
    <w:p w:rsidR="007152E4" w:rsidRDefault="007152E4" w:rsidP="007152E4">
      <w:pPr>
        <w:pStyle w:val="BodyText"/>
      </w:pPr>
      <w:r>
        <w:t>These savings are likely to be a small percentage of the total economic development spending of the councils in each cluster. None of the clusters would be large enough to either position themselves as an alternative to WREDA and are therefore unlikely to be any more successful in attracting central government or private co-funding than they are now.</w:t>
      </w:r>
    </w:p>
    <w:p w:rsidR="00757EA6" w:rsidRDefault="00757EA6" w:rsidP="00757EA6">
      <w:pPr>
        <w:pStyle w:val="Heading3"/>
      </w:pPr>
      <w:r>
        <w:t>All spending through WREDA</w:t>
      </w:r>
    </w:p>
    <w:p w:rsidR="00757EA6" w:rsidRDefault="00757EA6" w:rsidP="00757EA6">
      <w:pPr>
        <w:pStyle w:val="BodyText"/>
      </w:pPr>
      <w:r>
        <w:t>This option offers the highest potential additions benefits of the three reasonable practicable options as it:</w:t>
      </w:r>
    </w:p>
    <w:p w:rsidR="00757EA6" w:rsidRDefault="00757EA6" w:rsidP="00757EA6">
      <w:pPr>
        <w:pStyle w:val="Bullet"/>
      </w:pPr>
      <w:r>
        <w:t>allows WREDA to provide one unequivocal economic develo</w:t>
      </w:r>
      <w:r w:rsidR="00CD4103">
        <w:t xml:space="preserve">pment voice for the region strengthening its ability to seek co-funding from central government and the private sector while also increasing the </w:t>
      </w:r>
      <w:r w:rsidR="00F91C1B">
        <w:t xml:space="preserve">funding base it can leverage by up </w:t>
      </w:r>
      <w:r w:rsidR="00CD4103">
        <w:t>to 50 percent.</w:t>
      </w:r>
    </w:p>
    <w:p w:rsidR="00CD4103" w:rsidRDefault="00CD4103" w:rsidP="00757EA6">
      <w:pPr>
        <w:pStyle w:val="Bullet"/>
      </w:pPr>
      <w:r>
        <w:t xml:space="preserve">eliminates </w:t>
      </w:r>
      <w:r w:rsidR="00C324D9">
        <w:t>duplicated spending</w:t>
      </w:r>
      <w:r>
        <w:t xml:space="preserve"> on tourism, promotion and business attraction incentives between the councils.</w:t>
      </w:r>
    </w:p>
    <w:p w:rsidR="005C7EC4" w:rsidRDefault="005C7EC4" w:rsidP="00A40F23">
      <w:pPr>
        <w:pStyle w:val="Heading2"/>
      </w:pPr>
      <w:bookmarkStart w:id="20" w:name="_Toc397342148"/>
      <w:r>
        <w:t>Conclusion</w:t>
      </w:r>
      <w:bookmarkEnd w:id="20"/>
    </w:p>
    <w:p w:rsidR="00845F28" w:rsidRDefault="005C7EC4" w:rsidP="005C7EC4">
      <w:pPr>
        <w:pStyle w:val="BodyText"/>
      </w:pPr>
      <w:r>
        <w:t xml:space="preserve">The </w:t>
      </w:r>
      <w:r w:rsidR="00730899">
        <w:t xml:space="preserve">WREDA proposal consolidates about two thirds of the business development expenditure by councils in the region, into a regionally focused organisation and establishes a regional economic development entity that is likely to be able to effectively obtain central government and private sector co-funding. This entity also provides a foundation for realising efficiency gains from consolidation the economic development spending by other councils in the </w:t>
      </w:r>
      <w:r w:rsidR="00C324D9">
        <w:t>region</w:t>
      </w:r>
      <w:r w:rsidR="00730899">
        <w:t>.</w:t>
      </w:r>
      <w:r w:rsidR="00845F28">
        <w:t xml:space="preserve"> </w:t>
      </w:r>
    </w:p>
    <w:p w:rsidR="005C7EC4" w:rsidRPr="005C7EC4" w:rsidRDefault="00845F28" w:rsidP="005C7EC4">
      <w:pPr>
        <w:pStyle w:val="BodyText"/>
      </w:pPr>
      <w:r>
        <w:lastRenderedPageBreak/>
        <w:t>Consolidation beyond WREDA is likely to enable further efficiency and effectiveness gains for the delivery of the WRS. However we cannot quantify these gains on the available information. Also transition from the WREDA option to further consolidation of business development spendin</w:t>
      </w:r>
      <w:r w:rsidR="006A2FE7">
        <w:t>g would require the issue of representation of local voice to be considered and addressed.</w:t>
      </w:r>
    </w:p>
    <w:sectPr w:rsidR="005C7EC4" w:rsidRPr="005C7EC4" w:rsidSect="00C17D87">
      <w:footerReference w:type="default" r:id="rId24"/>
      <w:pgSz w:w="11907" w:h="16840" w:code="9"/>
      <w:pgMar w:top="2268" w:right="1701" w:bottom="1134" w:left="2552" w:header="1134"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401" w:rsidRDefault="00F67401" w:rsidP="00AE01EA">
      <w:r>
        <w:separator/>
      </w:r>
    </w:p>
  </w:endnote>
  <w:endnote w:type="continuationSeparator" w:id="0">
    <w:p w:rsidR="00F67401" w:rsidRDefault="00F67401" w:rsidP="00AE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yriad Pro">
    <w:altName w:val="Arial"/>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Pr="002F0024" w:rsidRDefault="00F67401" w:rsidP="00AE01EA">
    <w:pPr>
      <w:pStyle w:val="zWebpage"/>
      <w:rPr>
        <w:snapToGrid w:val="0"/>
        <w:lang w:val="en-GB"/>
      </w:rPr>
    </w:pPr>
    <w:r w:rsidRPr="002F0024">
      <w:t>nzier.org.nz</w:t>
    </w:r>
  </w:p>
  <w:p w:rsidR="00F67401" w:rsidRPr="00315887" w:rsidRDefault="00F67401" w:rsidP="00AE01EA">
    <w:pPr>
      <w:pStyle w:val="zAddressdetails"/>
    </w:pPr>
    <w:r w:rsidRPr="00315887">
      <w:t>8 Halswell St, Thorndon | PO Box 3479, Wellington</w:t>
    </w:r>
    <w:r>
      <w:br/>
    </w:r>
    <w:r w:rsidRPr="00315887">
      <w:t xml:space="preserve">Tel +64 4 472 1880 | Fax +64 4 472 1211 | </w:t>
    </w:r>
    <w:hyperlink r:id="rId1" w:history="1">
      <w:r w:rsidRPr="00315887">
        <w:rPr>
          <w:rStyle w:val="Hyperlink"/>
          <w:rFonts w:cs="Tahoma"/>
        </w:rPr>
        <w:t>econ@nzier.org.nz</w:t>
      </w:r>
    </w:hyperlink>
  </w:p>
  <w:p w:rsidR="00F67401" w:rsidRDefault="00F67401" w:rsidP="00AE01EA">
    <w:pPr>
      <w:pStyle w:val="zAddressdetails"/>
    </w:pPr>
    <w:r w:rsidRPr="00315887">
      <w:t xml:space="preserve">© NZ Institute of Economic Research (Inc) 2011 </w:t>
    </w:r>
  </w:p>
  <w:p w:rsidR="00F67401" w:rsidRPr="00315887" w:rsidRDefault="00F67401" w:rsidP="00AE01EA">
    <w:pPr>
      <w:pStyle w:val="zAddressdetails"/>
    </w:pPr>
    <w:r w:rsidRPr="00315887">
      <w:t xml:space="preserve">Cover image © </w:t>
    </w:r>
    <w:r>
      <w:fldChar w:fldCharType="begin"/>
    </w:r>
    <w:r>
      <w:instrText xml:space="preserve"> MACROBUTTON  NoMacro Dreamstime.com </w:instrText>
    </w:r>
    <w:r>
      <w:fldChar w:fldCharType="end"/>
    </w:r>
  </w:p>
  <w:p w:rsidR="00F67401" w:rsidRPr="00315887" w:rsidRDefault="00F67401" w:rsidP="00AE01EA">
    <w:pPr>
      <w:pStyle w:val="zAddressdetails"/>
      <w:rPr>
        <w:snapToGrid w:val="0"/>
        <w:lang w:val="en-GB"/>
      </w:rPr>
    </w:pPr>
    <w:r w:rsidRPr="00315887">
      <w:rPr>
        <w:snapToGrid w:val="0"/>
        <w:lang w:val="en-GB"/>
      </w:rPr>
      <w:t>NZIER’s standard terms of engagement for contract research can be found at www.nzier.org.nz.</w:t>
    </w:r>
  </w:p>
  <w:p w:rsidR="00F67401" w:rsidRPr="00315887" w:rsidRDefault="00F67401" w:rsidP="00AE01EA">
    <w:pPr>
      <w:pStyle w:val="zAddressdetails"/>
      <w:rPr>
        <w:snapToGrid w:val="0"/>
        <w:lang w:val="en-GB"/>
      </w:rPr>
    </w:pPr>
    <w:r w:rsidRPr="00315887">
      <w:rPr>
        <w:snapToGrid w:val="0"/>
        <w:lang w:val="en-GB"/>
      </w:rPr>
      <w:t>While NZIER will use all reasonable endeavours in undertaking contract research and producing reports to ensure the information is as accurate as practicable, the Institute, its contributors, employees, and Board shall not be liable (whether in contract, tort (including negligence), equity or on any other basis) for any loss or damage sustained by any person relying on such work whatever the cause of such loss or damage.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F67401" w:rsidP="00AE01EA">
    <w:pPr>
      <w:pStyle w:val="Footer"/>
    </w:pPr>
    <w:r>
      <w:t xml:space="preserve">NZIER report - </w:t>
    </w:r>
    <w:r>
      <w:fldChar w:fldCharType="begin"/>
    </w:r>
    <w:r>
      <w:instrText xml:space="preserve"> REF ReportTitle \h </w:instrText>
    </w:r>
    <w:r>
      <w:fldChar w:fldCharType="separate"/>
    </w:r>
    <w:r>
      <w:rPr>
        <w:b/>
        <w:bCs/>
        <w:lang w:val="en-US"/>
      </w:rPr>
      <w:t>Error! Reference source not found.</w:t>
    </w:r>
    <w:r>
      <w:fldChar w:fldCharType="end"/>
    </w:r>
    <w:r>
      <w:tab/>
    </w:r>
    <w:r>
      <w:fldChar w:fldCharType="begin"/>
    </w:r>
    <w:r>
      <w:instrText xml:space="preserve"> PAGE   \* MERGEFORMAT </w:instrText>
    </w:r>
    <w:r>
      <w:fldChar w:fldCharType="separate"/>
    </w:r>
    <w:r>
      <w:rPr>
        <w:noProof/>
      </w:rPr>
      <w:t>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Pr="002F0024" w:rsidRDefault="00F67401" w:rsidP="00AE01EA">
    <w:pPr>
      <w:pStyle w:val="zWebpage"/>
      <w:rPr>
        <w:snapToGrid w:val="0"/>
        <w:lang w:val="en-GB"/>
      </w:rPr>
    </w:pPr>
    <w:r w:rsidRPr="002F0024">
      <w:t>nzier.org.nz</w:t>
    </w:r>
  </w:p>
  <w:p w:rsidR="00F67401" w:rsidRPr="00315887" w:rsidRDefault="00F67401" w:rsidP="00AE01EA">
    <w:pPr>
      <w:pStyle w:val="zAddressdetails"/>
    </w:pPr>
    <w:r w:rsidRPr="00315887">
      <w:t>8 Halswell St, Thorndon | PO Box 3479, Wellington</w:t>
    </w:r>
    <w:r>
      <w:br/>
    </w:r>
    <w:r w:rsidRPr="00315887">
      <w:t xml:space="preserve">Tel +64 4 472 1880 | Fax +64 4 472 1211 | </w:t>
    </w:r>
    <w:hyperlink r:id="rId1" w:history="1">
      <w:r w:rsidRPr="00315887">
        <w:rPr>
          <w:rStyle w:val="Hyperlink"/>
          <w:rFonts w:cs="Tahoma"/>
        </w:rPr>
        <w:t>econ@nzier.org.nz</w:t>
      </w:r>
    </w:hyperlink>
  </w:p>
  <w:p w:rsidR="00F67401" w:rsidRDefault="00F67401" w:rsidP="00AE01EA">
    <w:pPr>
      <w:pStyle w:val="zAddressdetails"/>
    </w:pPr>
    <w:r w:rsidRPr="00315887">
      <w:t xml:space="preserve">© NZ Institute of Economic Research (Inc) 2011 </w:t>
    </w:r>
  </w:p>
  <w:p w:rsidR="00F67401" w:rsidRPr="00315887" w:rsidRDefault="00F67401" w:rsidP="00AE01EA">
    <w:pPr>
      <w:pStyle w:val="zAddressdetails"/>
    </w:pPr>
    <w:r w:rsidRPr="00315887">
      <w:t xml:space="preserve">Cover image © </w:t>
    </w:r>
    <w:r>
      <w:fldChar w:fldCharType="begin"/>
    </w:r>
    <w:r>
      <w:instrText xml:space="preserve"> MACROBUTTON  NoMacro Dreamstime.com </w:instrText>
    </w:r>
    <w:r>
      <w:fldChar w:fldCharType="end"/>
    </w:r>
  </w:p>
  <w:p w:rsidR="00F67401" w:rsidRPr="00315887" w:rsidRDefault="00F67401" w:rsidP="00AE01EA">
    <w:pPr>
      <w:pStyle w:val="zAddressdetails"/>
      <w:rPr>
        <w:snapToGrid w:val="0"/>
        <w:lang w:val="en-GB"/>
      </w:rPr>
    </w:pPr>
    <w:r w:rsidRPr="00315887">
      <w:rPr>
        <w:snapToGrid w:val="0"/>
        <w:lang w:val="en-GB"/>
      </w:rPr>
      <w:t>NZIER’s standard terms of engagement for contract research can be found at www.nzier.org.nz.</w:t>
    </w:r>
  </w:p>
  <w:p w:rsidR="00F67401" w:rsidRPr="00315887" w:rsidRDefault="00F67401" w:rsidP="00AE01EA">
    <w:pPr>
      <w:pStyle w:val="zAddressdetails"/>
      <w:rPr>
        <w:snapToGrid w:val="0"/>
        <w:lang w:val="en-GB"/>
      </w:rPr>
    </w:pPr>
    <w:r w:rsidRPr="00315887">
      <w:rPr>
        <w:snapToGrid w:val="0"/>
        <w:lang w:val="en-GB"/>
      </w:rPr>
      <w:t>While NZIER will use all reasonable endeavours in undertaking contract research and producing reports to ensure the information is as accurate as practicable, the Institute, its contributors, employees, and Board shall not be liable (whether in contract, tort (including negligence), equity or on any other basis) for any loss or damage sustained by any person relying on such work whatever the cause of such loss or damage.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F67401" w:rsidP="00F9369D">
    <w:pPr>
      <w:pStyle w:val="zAddressdetails"/>
      <w:rPr>
        <w:rFonts w:cstheme="minorHAnsi"/>
        <w:sz w:val="17"/>
        <w:szCs w:val="17"/>
      </w:rPr>
    </w:pPr>
    <w:r>
      <w:rPr>
        <w:noProof/>
        <w:sz w:val="20"/>
        <w:szCs w:val="20"/>
        <w:lang w:eastAsia="en-NZ"/>
      </w:rPr>
      <w:drawing>
        <wp:anchor distT="0" distB="0" distL="114300" distR="114300" simplePos="0" relativeHeight="251687936" behindDoc="0" locked="0" layoutInCell="1" allowOverlap="1" wp14:anchorId="104EA770" wp14:editId="347A40B7">
          <wp:simplePos x="0" y="0"/>
          <wp:positionH relativeFrom="column">
            <wp:posOffset>-33020</wp:posOffset>
          </wp:positionH>
          <wp:positionV relativeFrom="paragraph">
            <wp:posOffset>-478227</wp:posOffset>
          </wp:positionV>
          <wp:extent cx="1511300" cy="570302"/>
          <wp:effectExtent l="0" t="0" r="0" b="0"/>
          <wp:wrapNone/>
          <wp:docPr id="4" name="Picture 4" descr="C:\Users\jessicam\AppData\Local\Temp\Rar$DR67.936\Logo files\Full colour\nzi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m\AppData\Local\Temp\Rar$DR67.936\Logo files\Full colour\nzier-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11300" cy="5703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7401" w:rsidRPr="00303CE8" w:rsidRDefault="00F67401" w:rsidP="00F9369D">
    <w:pPr>
      <w:pStyle w:val="zAddressdetails"/>
      <w:rPr>
        <w:rFonts w:cstheme="minorHAnsi"/>
        <w:sz w:val="17"/>
        <w:szCs w:val="17"/>
      </w:rPr>
    </w:pPr>
    <w:r>
      <w:rPr>
        <w:rFonts w:cstheme="minorHAnsi"/>
        <w:sz w:val="17"/>
        <w:szCs w:val="17"/>
      </w:rPr>
      <w:t xml:space="preserve">L13 Grant Thornton House, 215 Lambton Quay </w:t>
    </w:r>
    <w:r w:rsidRPr="00303CE8">
      <w:rPr>
        <w:rFonts w:cstheme="minorHAnsi"/>
        <w:sz w:val="17"/>
        <w:szCs w:val="17"/>
      </w:rPr>
      <w:t>| PO Box 3479, Wellington</w:t>
    </w:r>
    <w:r>
      <w:rPr>
        <w:rFonts w:cstheme="minorHAnsi"/>
        <w:sz w:val="17"/>
        <w:szCs w:val="17"/>
      </w:rPr>
      <w:t xml:space="preserve"> 6140</w:t>
    </w:r>
    <w:r w:rsidRPr="00303CE8">
      <w:rPr>
        <w:rFonts w:cstheme="minorHAnsi"/>
        <w:sz w:val="17"/>
        <w:szCs w:val="17"/>
      </w:rPr>
      <w:br/>
      <w:t xml:space="preserve">Tel +64 4 472 1880 | </w:t>
    </w:r>
    <w:hyperlink r:id="rId2" w:history="1">
      <w:r w:rsidRPr="00303CE8">
        <w:rPr>
          <w:rStyle w:val="Hyperlink"/>
          <w:rFonts w:cstheme="minorHAnsi"/>
          <w:sz w:val="17"/>
          <w:szCs w:val="17"/>
        </w:rPr>
        <w:t>econ@nzier.org.nz</w:t>
      </w:r>
    </w:hyperlink>
  </w:p>
  <w:p w:rsidR="00F67401" w:rsidRPr="00303CE8" w:rsidRDefault="00F67401" w:rsidP="00F9369D">
    <w:pPr>
      <w:pStyle w:val="zAddressdetails"/>
      <w:rPr>
        <w:rFonts w:cstheme="minorHAnsi"/>
        <w:snapToGrid w:val="0"/>
        <w:sz w:val="17"/>
        <w:szCs w:val="17"/>
        <w:lang w:val="en-GB"/>
      </w:rPr>
    </w:pPr>
    <w:r w:rsidRPr="00303CE8">
      <w:rPr>
        <w:rFonts w:cstheme="minorHAnsi"/>
        <w:sz w:val="17"/>
        <w:szCs w:val="17"/>
      </w:rPr>
      <w:t xml:space="preserve">© NZ Institute of Economic Research (Inc) 2012. Cover image © </w:t>
    </w:r>
    <w:r w:rsidRPr="00303CE8">
      <w:rPr>
        <w:rFonts w:cstheme="minorHAnsi"/>
        <w:sz w:val="17"/>
        <w:szCs w:val="17"/>
      </w:rPr>
      <w:fldChar w:fldCharType="begin"/>
    </w:r>
    <w:r w:rsidRPr="00303CE8">
      <w:rPr>
        <w:rFonts w:cstheme="minorHAnsi"/>
        <w:sz w:val="17"/>
        <w:szCs w:val="17"/>
      </w:rPr>
      <w:instrText xml:space="preserve"> MACROBUTTON  NoMacro Dreamstime.com </w:instrText>
    </w:r>
    <w:r w:rsidRPr="00303CE8">
      <w:rPr>
        <w:rFonts w:cstheme="minorHAnsi"/>
        <w:sz w:val="17"/>
        <w:szCs w:val="17"/>
      </w:rPr>
      <w:fldChar w:fldCharType="end"/>
    </w:r>
    <w:r>
      <w:rPr>
        <w:rFonts w:cstheme="minorHAnsi"/>
        <w:sz w:val="17"/>
        <w:szCs w:val="17"/>
      </w:rPr>
      <w:br/>
    </w:r>
    <w:r w:rsidRPr="00303CE8">
      <w:rPr>
        <w:rFonts w:cstheme="minorHAnsi"/>
        <w:snapToGrid w:val="0"/>
        <w:sz w:val="17"/>
        <w:szCs w:val="17"/>
        <w:lang w:val="en-GB"/>
      </w:rPr>
      <w:t>NZIER’s standard terms of engagement for contract research can be found at www.nzier.org.nz.</w:t>
    </w:r>
  </w:p>
  <w:p w:rsidR="00F67401" w:rsidRPr="003E1B7D" w:rsidRDefault="00F67401" w:rsidP="00F9369D">
    <w:pPr>
      <w:pStyle w:val="zAddressdetails"/>
      <w:rPr>
        <w:rFonts w:cstheme="minorHAnsi"/>
        <w:snapToGrid w:val="0"/>
        <w:sz w:val="15"/>
        <w:szCs w:val="15"/>
        <w:lang w:val="en-GB"/>
      </w:rPr>
    </w:pPr>
    <w:r w:rsidRPr="003E1B7D">
      <w:rPr>
        <w:rFonts w:cstheme="minorHAnsi"/>
        <w:snapToGrid w:val="0"/>
        <w:sz w:val="15"/>
        <w:szCs w:val="15"/>
        <w:lang w:val="en-GB"/>
      </w:rPr>
      <w:t>While NZIER will use all reasonable endeavours in undertaking contract research and producing reports to ensure the information is as accurate as practicable, the Institute, its contributors, employees, and Board shall not be liable (whether in contract, tort (including negligence), equity or on any other basis) for any loss or damage sustained by any person relying on such work whatever the cause of such loss or damage.</w:t>
    </w:r>
  </w:p>
  <w:p w:rsidR="00F67401" w:rsidRPr="00315887" w:rsidRDefault="00F67401" w:rsidP="00AE01EA">
    <w:pPr>
      <w:pStyle w:val="zAddressdetails"/>
      <w:rPr>
        <w:snapToGrid w:val="0"/>
        <w:lang w:val="en-G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Pr="00353D2D" w:rsidRDefault="00F67401" w:rsidP="00AE01EA">
    <w:pPr>
      <w:pStyle w:val="zFooterEvenPortrait"/>
    </w:pPr>
    <w:r>
      <w:t xml:space="preserve">NZIER report - </w:t>
    </w:r>
    <w:r>
      <w:rPr>
        <w:noProof w:val="0"/>
      </w:rPr>
      <w:fldChar w:fldCharType="begin"/>
    </w:r>
    <w:r>
      <w:instrText xml:space="preserve"> STYLEREF  "Title" </w:instrText>
    </w:r>
    <w:r>
      <w:rPr>
        <w:noProof w:val="0"/>
      </w:rPr>
      <w:fldChar w:fldCharType="separate"/>
    </w:r>
    <w:r>
      <w:rPr>
        <w:b/>
        <w:bCs/>
        <w:lang w:val="en-US"/>
      </w:rPr>
      <w:t>Error! No text of specified style in document.</w:t>
    </w:r>
    <w:r>
      <w:fldChar w:fldCharType="end"/>
    </w:r>
    <w:r>
      <w:tab/>
    </w:r>
    <w:r>
      <w:fldChar w:fldCharType="begin"/>
    </w:r>
    <w:r>
      <w:instrText xml:space="preserve"> PAGE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Pr="00F9369D" w:rsidRDefault="00F67401" w:rsidP="00326628">
    <w:pPr>
      <w:pStyle w:val="zFooterOddPortrait"/>
      <w:pBdr>
        <w:top w:val="single" w:sz="6" w:space="1" w:color="008EC0"/>
      </w:pBdr>
      <w:tabs>
        <w:tab w:val="clear" w:pos="6804"/>
        <w:tab w:val="right" w:pos="7655"/>
      </w:tabs>
      <w:rPr>
        <w:rFonts w:cstheme="minorHAnsi"/>
        <w:b/>
        <w:color w:val="808080" w:themeColor="background1" w:themeShade="80"/>
        <w:sz w:val="18"/>
        <w:szCs w:val="18"/>
      </w:rPr>
    </w:pPr>
    <w:r w:rsidRPr="00093A70">
      <w:rPr>
        <w:rFonts w:cstheme="minorHAnsi"/>
        <w:b/>
        <w:color w:val="808080" w:themeColor="background1" w:themeShade="80"/>
        <w:sz w:val="18"/>
        <w:szCs w:val="18"/>
      </w:rPr>
      <w:t>NZIER report -</w:t>
    </w:r>
    <w:r>
      <w:rPr>
        <w:rFonts w:cstheme="minorHAnsi"/>
        <w:b/>
        <w:color w:val="808080" w:themeColor="background1" w:themeShade="80"/>
        <w:sz w:val="18"/>
        <w:szCs w:val="18"/>
      </w:rPr>
      <w:fldChar w:fldCharType="begin"/>
    </w:r>
    <w:r>
      <w:rPr>
        <w:rFonts w:cstheme="minorHAnsi"/>
        <w:b/>
        <w:color w:val="808080" w:themeColor="background1" w:themeShade="80"/>
        <w:sz w:val="18"/>
        <w:szCs w:val="18"/>
      </w:rPr>
      <w:instrText xml:space="preserve"> STYLEREF  "NZIER Title"  \* MERGEFORMAT </w:instrText>
    </w:r>
    <w:r>
      <w:rPr>
        <w:rFonts w:cstheme="minorHAnsi"/>
        <w:b/>
        <w:color w:val="808080" w:themeColor="background1" w:themeShade="80"/>
        <w:sz w:val="18"/>
        <w:szCs w:val="18"/>
      </w:rPr>
      <w:fldChar w:fldCharType="separate"/>
    </w:r>
    <w:r w:rsidR="006C12AC">
      <w:rPr>
        <w:rFonts w:cstheme="minorHAnsi"/>
        <w:b/>
        <w:noProof/>
        <w:color w:val="808080" w:themeColor="background1" w:themeShade="80"/>
        <w:sz w:val="18"/>
        <w:szCs w:val="18"/>
      </w:rPr>
      <w:t>Economic development</w:t>
    </w:r>
    <w:r>
      <w:rPr>
        <w:rFonts w:cstheme="minorHAnsi"/>
        <w:b/>
        <w:color w:val="808080" w:themeColor="background1" w:themeShade="80"/>
        <w:sz w:val="18"/>
        <w:szCs w:val="18"/>
      </w:rPr>
      <w:fldChar w:fldCharType="end"/>
    </w:r>
    <w:r w:rsidRPr="00093A70">
      <w:rPr>
        <w:rFonts w:cstheme="minorHAnsi"/>
        <w:b/>
        <w:color w:val="808080" w:themeColor="background1" w:themeShade="80"/>
        <w:sz w:val="18"/>
        <w:szCs w:val="18"/>
      </w:rPr>
      <w:tab/>
    </w:r>
    <w:r w:rsidRPr="00093A70">
      <w:rPr>
        <w:rFonts w:cstheme="minorHAnsi"/>
        <w:b/>
        <w:color w:val="808080" w:themeColor="background1" w:themeShade="80"/>
        <w:sz w:val="18"/>
        <w:szCs w:val="18"/>
      </w:rPr>
      <w:fldChar w:fldCharType="begin"/>
    </w:r>
    <w:r w:rsidRPr="00093A70">
      <w:rPr>
        <w:rFonts w:cstheme="minorHAnsi"/>
        <w:b/>
        <w:color w:val="808080" w:themeColor="background1" w:themeShade="80"/>
        <w:sz w:val="18"/>
        <w:szCs w:val="18"/>
      </w:rPr>
      <w:instrText xml:space="preserve"> PAGE   \* MERGEFORMAT </w:instrText>
    </w:r>
    <w:r w:rsidRPr="00093A70">
      <w:rPr>
        <w:rFonts w:cstheme="minorHAnsi"/>
        <w:b/>
        <w:color w:val="808080" w:themeColor="background1" w:themeShade="80"/>
        <w:sz w:val="18"/>
        <w:szCs w:val="18"/>
      </w:rPr>
      <w:fldChar w:fldCharType="separate"/>
    </w:r>
    <w:r w:rsidR="006C12AC">
      <w:rPr>
        <w:rFonts w:cstheme="minorHAnsi"/>
        <w:b/>
        <w:noProof/>
        <w:color w:val="808080" w:themeColor="background1" w:themeShade="80"/>
        <w:sz w:val="18"/>
        <w:szCs w:val="18"/>
      </w:rPr>
      <w:t>ii</w:t>
    </w:r>
    <w:r w:rsidRPr="00093A70">
      <w:rPr>
        <w:rFonts w:cstheme="minorHAnsi"/>
        <w:b/>
        <w:color w:val="808080" w:themeColor="background1" w:themeShade="80"/>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F67401" w:rsidP="00AE01EA">
    <w:pPr>
      <w:pStyle w:val="Footer"/>
    </w:pPr>
    <w:r>
      <w:t xml:space="preserve">NZIER report - </w:t>
    </w:r>
    <w:r>
      <w:fldChar w:fldCharType="begin"/>
    </w:r>
    <w:r>
      <w:instrText xml:space="preserve"> REF ReportTitle \h </w:instrText>
    </w:r>
    <w:r>
      <w:fldChar w:fldCharType="separate"/>
    </w:r>
    <w:r>
      <w:rPr>
        <w:b/>
        <w:bCs/>
        <w:lang w:val="en-US"/>
      </w:rPr>
      <w:t>Error! Reference source not found.</w:t>
    </w:r>
    <w:r>
      <w:fldChar w:fldCharType="end"/>
    </w:r>
    <w:r>
      <w:tab/>
    </w:r>
    <w:r>
      <w:fldChar w:fldCharType="begin"/>
    </w:r>
    <w:r>
      <w:instrText xml:space="preserve"> PAGE   \* MERGEFORMAT </w:instrText>
    </w:r>
    <w:r>
      <w:fldChar w:fldCharType="separate"/>
    </w:r>
    <w:r>
      <w:rPr>
        <w:noProof/>
      </w:rPr>
      <w:t>i</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Pr="00F90AA7" w:rsidRDefault="00F67401" w:rsidP="001A5A15">
    <w:pPr>
      <w:pStyle w:val="Footer"/>
      <w:pBdr>
        <w:top w:val="single" w:sz="6" w:space="1" w:color="008EC0"/>
      </w:pBdr>
      <w:tabs>
        <w:tab w:val="clear" w:pos="6804"/>
        <w:tab w:val="right" w:pos="7655"/>
      </w:tabs>
    </w:pPr>
    <w:r w:rsidRPr="007A7C06">
      <w:rPr>
        <w:rFonts w:cstheme="minorHAnsi"/>
        <w:b/>
        <w:color w:val="808080" w:themeColor="background1" w:themeShade="80"/>
        <w:sz w:val="18"/>
        <w:szCs w:val="18"/>
      </w:rPr>
      <w:t>NZIER report -</w:t>
    </w:r>
    <w:r>
      <w:rPr>
        <w:rFonts w:cstheme="minorHAnsi"/>
        <w:b/>
        <w:color w:val="808080" w:themeColor="background1" w:themeShade="80"/>
        <w:sz w:val="18"/>
        <w:szCs w:val="18"/>
      </w:rPr>
      <w:fldChar w:fldCharType="begin"/>
    </w:r>
    <w:r>
      <w:rPr>
        <w:rFonts w:cstheme="minorHAnsi"/>
        <w:b/>
        <w:color w:val="808080" w:themeColor="background1" w:themeShade="80"/>
        <w:sz w:val="18"/>
        <w:szCs w:val="18"/>
      </w:rPr>
      <w:instrText xml:space="preserve"> STYLEREF  "NZIER Title"  \* MERGEFORMAT </w:instrText>
    </w:r>
    <w:r>
      <w:rPr>
        <w:rFonts w:cstheme="minorHAnsi"/>
        <w:b/>
        <w:color w:val="808080" w:themeColor="background1" w:themeShade="80"/>
        <w:sz w:val="18"/>
        <w:szCs w:val="18"/>
      </w:rPr>
      <w:fldChar w:fldCharType="separate"/>
    </w:r>
    <w:r w:rsidR="006C12AC">
      <w:rPr>
        <w:rFonts w:cstheme="minorHAnsi"/>
        <w:b/>
        <w:noProof/>
        <w:color w:val="808080" w:themeColor="background1" w:themeShade="80"/>
        <w:sz w:val="18"/>
        <w:szCs w:val="18"/>
      </w:rPr>
      <w:t>Economic development</w:t>
    </w:r>
    <w:r>
      <w:rPr>
        <w:rFonts w:cstheme="minorHAnsi"/>
        <w:b/>
        <w:color w:val="808080" w:themeColor="background1" w:themeShade="80"/>
        <w:sz w:val="18"/>
        <w:szCs w:val="18"/>
      </w:rPr>
      <w:fldChar w:fldCharType="end"/>
    </w:r>
    <w:r w:rsidRPr="007A7C06">
      <w:rPr>
        <w:rFonts w:cstheme="minorHAnsi"/>
        <w:b/>
        <w:color w:val="808080" w:themeColor="background1" w:themeShade="80"/>
        <w:sz w:val="18"/>
        <w:szCs w:val="18"/>
      </w:rPr>
      <w:tab/>
    </w:r>
    <w:r w:rsidRPr="007A7C06">
      <w:rPr>
        <w:rFonts w:cstheme="minorHAnsi"/>
        <w:b/>
        <w:color w:val="808080" w:themeColor="background1" w:themeShade="80"/>
        <w:sz w:val="18"/>
        <w:szCs w:val="18"/>
      </w:rPr>
      <w:fldChar w:fldCharType="begin"/>
    </w:r>
    <w:r w:rsidRPr="007A7C06">
      <w:rPr>
        <w:rFonts w:cstheme="minorHAnsi"/>
        <w:b/>
        <w:color w:val="808080" w:themeColor="background1" w:themeShade="80"/>
        <w:sz w:val="18"/>
        <w:szCs w:val="18"/>
      </w:rPr>
      <w:instrText xml:space="preserve"> PAGE   \* MERGEFORMAT </w:instrText>
    </w:r>
    <w:r w:rsidRPr="007A7C06">
      <w:rPr>
        <w:rFonts w:cstheme="minorHAnsi"/>
        <w:b/>
        <w:color w:val="808080" w:themeColor="background1" w:themeShade="80"/>
        <w:sz w:val="18"/>
        <w:szCs w:val="18"/>
      </w:rPr>
      <w:fldChar w:fldCharType="separate"/>
    </w:r>
    <w:r w:rsidR="006C12AC">
      <w:rPr>
        <w:rFonts w:cstheme="minorHAnsi"/>
        <w:b/>
        <w:noProof/>
        <w:color w:val="808080" w:themeColor="background1" w:themeShade="80"/>
        <w:sz w:val="18"/>
        <w:szCs w:val="18"/>
      </w:rPr>
      <w:t>1</w:t>
    </w:r>
    <w:r w:rsidRPr="007A7C06">
      <w:rPr>
        <w:rFonts w:cstheme="minorHAnsi"/>
        <w:b/>
        <w:noProof/>
        <w:color w:val="808080" w:themeColor="background1" w:themeShade="8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401" w:rsidRDefault="00F67401" w:rsidP="00AE01EA">
      <w:r>
        <w:separator/>
      </w:r>
    </w:p>
  </w:footnote>
  <w:footnote w:type="continuationSeparator" w:id="0">
    <w:p w:rsidR="00F67401" w:rsidRDefault="00F67401" w:rsidP="00AE01EA">
      <w:r>
        <w:continuationSeparator/>
      </w:r>
    </w:p>
  </w:footnote>
  <w:footnote w:id="1">
    <w:p w:rsidR="00F67401" w:rsidRDefault="00F67401">
      <w:pPr>
        <w:pStyle w:val="FootnoteText"/>
      </w:pPr>
      <w:r>
        <w:rPr>
          <w:rStyle w:val="FootnoteReference"/>
        </w:rPr>
        <w:footnoteRef/>
      </w:r>
      <w:r>
        <w:t xml:space="preserve"> </w:t>
      </w:r>
      <w:r>
        <w:tab/>
        <w:t>This proportion is difficult to estimate precisely because some of the WCC spending has spill-over benefits for the rest of the region. The point of the comment is that the focus of economic development spending is on council spending within their boundaries rather than on the delivery of the WRS.</w:t>
      </w:r>
    </w:p>
  </w:footnote>
  <w:footnote w:id="2">
    <w:p w:rsidR="00F67401" w:rsidRDefault="00F67401" w:rsidP="00F02F52">
      <w:pPr>
        <w:pStyle w:val="FootnoteText"/>
      </w:pPr>
      <w:r>
        <w:rPr>
          <w:rStyle w:val="FootnoteReference"/>
        </w:rPr>
        <w:footnoteRef/>
      </w:r>
      <w:r>
        <w:t xml:space="preserve"> See ‘’Wellington Regional Strategy Internationally Competitive Wellington, June 2007, ‘About this document’ and also p4</w:t>
      </w:r>
      <w:r w:rsidR="00E466B7">
        <w:t>.</w:t>
      </w:r>
    </w:p>
  </w:footnote>
  <w:footnote w:id="3">
    <w:p w:rsidR="00F67401" w:rsidRDefault="00F67401">
      <w:pPr>
        <w:pStyle w:val="FootnoteText"/>
      </w:pPr>
      <w:r>
        <w:rPr>
          <w:rStyle w:val="FootnoteReference"/>
        </w:rPr>
        <w:footnoteRef/>
      </w:r>
      <w:r>
        <w:t xml:space="preserve"> </w:t>
      </w:r>
      <w:r w:rsidR="00CB054C">
        <w:t>The three Wairarapa councils were represented by one mayor.</w:t>
      </w:r>
    </w:p>
  </w:footnote>
  <w:footnote w:id="4">
    <w:p w:rsidR="00F67401" w:rsidRDefault="00F67401" w:rsidP="00F67401">
      <w:pPr>
        <w:pStyle w:val="FootnoteText"/>
      </w:pPr>
      <w:r>
        <w:rPr>
          <w:rStyle w:val="FootnoteReference"/>
        </w:rPr>
        <w:footnoteRef/>
      </w:r>
      <w:r>
        <w:t xml:space="preserve"> See ‘‘Wellington Regional Strategy 2012 —growing a sustainable economy</w:t>
      </w:r>
      <w:r w:rsidR="00E466B7">
        <w:t>, p7.</w:t>
      </w:r>
    </w:p>
  </w:footnote>
  <w:footnote w:id="5">
    <w:p w:rsidR="00F67401" w:rsidRDefault="00F67401">
      <w:pPr>
        <w:pStyle w:val="FootnoteText"/>
      </w:pPr>
      <w:r>
        <w:rPr>
          <w:rStyle w:val="FootnoteReference"/>
        </w:rPr>
        <w:footnoteRef/>
      </w:r>
      <w:r>
        <w:t xml:space="preserve"> The WREDA proposal does not include enough information to compare the WCC funding of WREDA with the economic development spending in its long term plan.</w:t>
      </w:r>
    </w:p>
  </w:footnote>
  <w:footnote w:id="6">
    <w:p w:rsidR="00F67401" w:rsidRDefault="00F67401">
      <w:pPr>
        <w:pStyle w:val="FootnoteText"/>
      </w:pPr>
      <w:r>
        <w:rPr>
          <w:rStyle w:val="FootnoteReference"/>
        </w:rPr>
        <w:footnoteRef/>
      </w:r>
      <w:r>
        <w:t xml:space="preserve"> The funding estimates for WREDA suggest an expectation that ‘other funding will match the direct contribution f</w:t>
      </w:r>
      <w:r w:rsidR="00A40F23">
        <w:t>r</w:t>
      </w:r>
      <w:r>
        <w:t>om councils but the make-up of this contribution is unclear.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6C12AC"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317.45pt;margin-top:310.35pt;width:474.8pt;height:88.55pt;rotation:270;z-index:-251646976;mso-position-horizontal-relative:text;mso-position-vertical-relative:text" strokecolor="#a5a5a5 [2092]">
          <v:fill r:id="rId1" o:title=""/>
          <v:shadow color="#868686"/>
          <v:textpath style="font-family:&quot;Arial Black&quot;;v-text-kern:t" trim="t" fitpath="t" string="D R A F 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6C12AC"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317.45pt;margin-top:310.35pt;width:474.8pt;height:88.55pt;rotation:270;z-index:-251651072;mso-position-horizontal-relative:text;mso-position-vertical-relative:text" strokecolor="#a5a5a5 [2092]">
          <v:fill r:id="rId1" o:title=""/>
          <v:shadow color="#868686"/>
          <v:textpath style="font-family:&quot;Arial Black&quot;;v-text-kern:t" trim="t" fitpath="t" string="D R A F 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F67401" w:rsidP="00AE01EA">
    <w:pPr>
      <w:pStyle w:val="Header"/>
    </w:pPr>
    <w:r>
      <w:rPr>
        <w:noProof/>
        <w:lang w:eastAsia="en-NZ"/>
      </w:rPr>
      <w:drawing>
        <wp:anchor distT="0" distB="0" distL="114300" distR="114300" simplePos="0" relativeHeight="251689984" behindDoc="0" locked="0" layoutInCell="1" allowOverlap="1" wp14:anchorId="1254A1AB" wp14:editId="53CAD970">
          <wp:simplePos x="0" y="0"/>
          <wp:positionH relativeFrom="column">
            <wp:posOffset>2887345</wp:posOffset>
          </wp:positionH>
          <wp:positionV relativeFrom="paragraph">
            <wp:posOffset>-299720</wp:posOffset>
          </wp:positionV>
          <wp:extent cx="2826000" cy="1065600"/>
          <wp:effectExtent l="0" t="0" r="0" b="1270"/>
          <wp:wrapNone/>
          <wp:docPr id="3" name="Picture 3" descr="C:\Users\jessicam\AppData\Local\Temp\Rar$DR67.936\Logo files\Full colour\nzi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ssicam\AppData\Local\Temp\Rar$DR67.936\Logo files\Full colour\nzier-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6000" cy="106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6C12AC"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317.45pt;margin-top:310.35pt;width:474.8pt;height:88.55pt;rotation:270;z-index:-251642880;mso-position-horizontal-relative:text;mso-position-vertical-relative:text" strokecolor="#a5a5a5 [2092]">
          <v:fill r:id="rId1" o:title=""/>
          <v:shadow color="#868686"/>
          <v:textpath style="font-family:&quot;Arial Black&quot;;v-text-kern:t" trim="t" fitpath="t" string="D R A F 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F67401" w:rsidP="00AE01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6C12AC"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317.45pt;margin-top:310.35pt;width:474.8pt;height:88.55pt;rotation:270;z-index:-251636736;mso-position-horizontal-relative:text;mso-position-vertical-relative:text" strokecolor="#a5a5a5 [2092]">
          <v:fill r:id="rId1" o:title=""/>
          <v:shadow color="#868686"/>
          <v:textpath style="font-family:&quot;Arial Black&quot;;v-text-kern:t" trim="t" fitpath="t" string="D R A F 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Pr="00C17D87" w:rsidRDefault="00F67401" w:rsidP="00AE01E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401" w:rsidRDefault="006C12AC" w:rsidP="00AE01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317.45pt;margin-top:310.35pt;width:474.8pt;height:88.55pt;rotation:270;z-index:-251638784;mso-position-horizontal-relative:text;mso-position-vertical-relative:text" strokecolor="#a5a5a5 [2092]">
          <v:fill r:id="rId1" o:title=""/>
          <v:shadow color="#868686"/>
          <v:textpath style="font-family:&quot;Arial Black&quot;;v-text-kern:t" trim="t" fitpath="t" string="D R A F 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F1D5D"/>
    <w:multiLevelType w:val="hybridMultilevel"/>
    <w:tmpl w:val="82009EB6"/>
    <w:lvl w:ilvl="0" w:tplc="4C9E96FE">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43A4B"/>
    <w:multiLevelType w:val="multilevel"/>
    <w:tmpl w:val="CF9ACF38"/>
    <w:styleLink w:val="NZIERBullet1List"/>
    <w:lvl w:ilvl="0">
      <w:start w:val="1"/>
      <w:numFmt w:val="bullet"/>
      <w:pStyle w:val="Bullet"/>
      <w:lvlText w:val=""/>
      <w:lvlJc w:val="left"/>
      <w:pPr>
        <w:tabs>
          <w:tab w:val="num" w:pos="851"/>
        </w:tabs>
        <w:ind w:left="851" w:hanging="426"/>
      </w:pPr>
      <w:rPr>
        <w:rFonts w:ascii="Symbol" w:hAnsi="Symbol" w:hint="default"/>
        <w:color w:val="auto"/>
      </w:rPr>
    </w:lvl>
    <w:lvl w:ilvl="1">
      <w:start w:val="1"/>
      <w:numFmt w:val="bullet"/>
      <w:pStyle w:val="Bullet2ndlevel"/>
      <w:lvlText w:val=""/>
      <w:lvlJc w:val="left"/>
      <w:pPr>
        <w:tabs>
          <w:tab w:val="num" w:pos="1276"/>
        </w:tabs>
        <w:ind w:left="1276" w:hanging="425"/>
      </w:pPr>
      <w:rPr>
        <w:rFonts w:ascii="Symbol" w:hAnsi="Symbol" w:hint="default"/>
        <w:color w:val="auto"/>
      </w:rPr>
    </w:lvl>
    <w:lvl w:ilvl="2">
      <w:start w:val="1"/>
      <w:numFmt w:val="bullet"/>
      <w:pStyle w:val="Bullet3rdlevel"/>
      <w:lvlText w:val=""/>
      <w:lvlJc w:val="left"/>
      <w:pPr>
        <w:tabs>
          <w:tab w:val="num" w:pos="1701"/>
        </w:tabs>
        <w:ind w:left="1701" w:hanging="425"/>
      </w:pPr>
      <w:rPr>
        <w:rFonts w:ascii="Symbol" w:hAnsi="Symbol" w:hint="default"/>
        <w:color w:val="auto"/>
      </w:rPr>
    </w:lvl>
    <w:lvl w:ilvl="3">
      <w:start w:val="1"/>
      <w:numFmt w:val="none"/>
      <w:lvlText w:val=""/>
      <w:lvlJc w:val="left"/>
      <w:pPr>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
    <w:nsid w:val="29130184"/>
    <w:multiLevelType w:val="multilevel"/>
    <w:tmpl w:val="644643CE"/>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1134" w:hanging="1134"/>
      </w:pPr>
      <w:rPr>
        <w:rFonts w:hint="default"/>
      </w:rPr>
    </w:lvl>
    <w:lvl w:ilvl="2">
      <w:start w:val="1"/>
      <w:numFmt w:val="decimal"/>
      <w:pStyle w:val="Heading3"/>
      <w:lvlText w:val="%1.%2.%3."/>
      <w:lvlJc w:val="left"/>
      <w:pPr>
        <w:ind w:left="1559" w:hanging="155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AF92398"/>
    <w:multiLevelType w:val="multilevel"/>
    <w:tmpl w:val="B52A983E"/>
    <w:styleLink w:val="NZIERAppendixlist"/>
    <w:lvl w:ilvl="0">
      <w:start w:val="1"/>
      <w:numFmt w:val="upperLetter"/>
      <w:pStyle w:val="Appendixheading1"/>
      <w:suff w:val="space"/>
      <w:lvlText w:val="Appendix %1"/>
      <w:lvlJc w:val="left"/>
      <w:pPr>
        <w:ind w:left="0" w:firstLine="0"/>
      </w:pPr>
      <w:rPr>
        <w:rFonts w:hint="default"/>
      </w:rPr>
    </w:lvl>
    <w:lvl w:ilvl="1">
      <w:start w:val="1"/>
      <w:numFmt w:val="decimal"/>
      <w:pStyle w:val="Appendixheading2"/>
      <w:lvlText w:val="%1.%2"/>
      <w:lvlJc w:val="left"/>
      <w:pPr>
        <w:ind w:left="0" w:firstLine="0"/>
      </w:pPr>
      <w:rPr>
        <w:rFonts w:hint="default"/>
      </w:rPr>
    </w:lvl>
    <w:lvl w:ilvl="2">
      <w:start w:val="1"/>
      <w:numFmt w:val="decimal"/>
      <w:pStyle w:val="Appendixheading3"/>
      <w:lvlText w:val="%1.%2.%3"/>
      <w:lvlJc w:val="left"/>
      <w:pPr>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3DAB147C"/>
    <w:multiLevelType w:val="multilevel"/>
    <w:tmpl w:val="CEF40430"/>
    <w:styleLink w:val="NZIERHeadinglist"/>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none"/>
      <w:suff w:val="spac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numFmt w:val="none"/>
      <w:lvlText w:val="%9"/>
      <w:lvlJc w:val="left"/>
      <w:pPr>
        <w:ind w:left="0" w:firstLine="0"/>
      </w:pPr>
      <w:rPr>
        <w:rFonts w:hint="default"/>
      </w:rPr>
    </w:lvl>
  </w:abstractNum>
  <w:abstractNum w:abstractNumId="5">
    <w:nsid w:val="40B93FD4"/>
    <w:multiLevelType w:val="multilevel"/>
    <w:tmpl w:val="025CD9A0"/>
    <w:styleLink w:val="NZIERNumberedparagraphsList"/>
    <w:lvl w:ilvl="0">
      <w:start w:val="1"/>
      <w:numFmt w:val="decimal"/>
      <w:pStyle w:val="Numberedparagraphs"/>
      <w:lvlText w:val="%1."/>
      <w:lvlJc w:val="left"/>
      <w:pPr>
        <w:tabs>
          <w:tab w:val="num" w:pos="1571"/>
        </w:tabs>
        <w:ind w:left="1571" w:hanging="426"/>
      </w:pPr>
      <w:rPr>
        <w:rFonts w:hint="default"/>
      </w:rPr>
    </w:lvl>
    <w:lvl w:ilvl="1">
      <w:start w:val="1"/>
      <w:numFmt w:val="decimal"/>
      <w:lvlText w:val="%1.%2"/>
      <w:lvlJc w:val="left"/>
      <w:pPr>
        <w:tabs>
          <w:tab w:val="num" w:pos="1571"/>
        </w:tabs>
        <w:ind w:left="1571" w:hanging="426"/>
      </w:pPr>
      <w:rPr>
        <w:rFonts w:hint="default"/>
      </w:rPr>
    </w:lvl>
    <w:lvl w:ilvl="2">
      <w:start w:val="1"/>
      <w:numFmt w:val="decimal"/>
      <w:lvlText w:val="%1.%2.%3"/>
      <w:lvlJc w:val="left"/>
      <w:pPr>
        <w:tabs>
          <w:tab w:val="num" w:pos="1571"/>
        </w:tabs>
        <w:ind w:left="1571" w:hanging="426"/>
      </w:pPr>
      <w:rPr>
        <w:rFonts w:hint="default"/>
      </w:rPr>
    </w:lvl>
    <w:lvl w:ilvl="3">
      <w:start w:val="1"/>
      <w:numFmt w:val="lowerLetter"/>
      <w:lvlText w:val="(%4)"/>
      <w:lvlJc w:val="left"/>
      <w:pPr>
        <w:tabs>
          <w:tab w:val="num" w:pos="2138"/>
        </w:tabs>
        <w:ind w:left="2138" w:hanging="567"/>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6">
    <w:nsid w:val="453C5419"/>
    <w:multiLevelType w:val="hybridMultilevel"/>
    <w:tmpl w:val="0C3CD8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A805640"/>
    <w:multiLevelType w:val="hybridMultilevel"/>
    <w:tmpl w:val="41304E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B623A02"/>
    <w:multiLevelType w:val="multilevel"/>
    <w:tmpl w:val="85A6BB88"/>
    <w:styleLink w:val="NZIERInstructionsbullet"/>
    <w:lvl w:ilvl="0">
      <w:start w:val="1"/>
      <w:numFmt w:val="bullet"/>
      <w:pStyle w:val="zInstructionsbullet"/>
      <w:lvlText w:val=""/>
      <w:lvlJc w:val="left"/>
      <w:pPr>
        <w:tabs>
          <w:tab w:val="num" w:pos="851"/>
        </w:tabs>
        <w:ind w:left="851" w:hanging="426"/>
      </w:pPr>
      <w:rPr>
        <w:rFonts w:ascii="Symbol" w:hAnsi="Symbol" w:hint="default"/>
        <w:color w:val="FFFFFF" w:themeColor="background1"/>
        <w:u w:color="FFFFFF" w:themeColor="background1"/>
      </w:rPr>
    </w:lvl>
    <w:lvl w:ilvl="1">
      <w:start w:val="1"/>
      <w:numFmt w:val="bullet"/>
      <w:lvlText w:val=""/>
      <w:lvlJc w:val="left"/>
      <w:pPr>
        <w:tabs>
          <w:tab w:val="num" w:pos="1276"/>
        </w:tabs>
        <w:ind w:left="1276" w:hanging="425"/>
      </w:pPr>
      <w:rPr>
        <w:rFonts w:ascii="Symbol" w:hAnsi="Symbol" w:hint="default"/>
        <w:u w:color="FFFFFF" w:themeColor="background1"/>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4"/>
  </w:num>
  <w:num w:numId="2">
    <w:abstractNumId w:val="1"/>
  </w:num>
  <w:num w:numId="3">
    <w:abstractNumId w:val="3"/>
  </w:num>
  <w:num w:numId="4">
    <w:abstractNumId w:val="5"/>
  </w:num>
  <w:num w:numId="5">
    <w:abstractNumId w:val="8"/>
  </w:num>
  <w:num w:numId="6">
    <w:abstractNumId w:val="3"/>
  </w:num>
  <w:num w:numId="7">
    <w:abstractNumId w:val="2"/>
  </w:num>
  <w:num w:numId="8">
    <w:abstractNumId w:val="6"/>
  </w:num>
  <w:num w:numId="9">
    <w:abstractNumId w:val="7"/>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2"/>
  </w:num>
  <w:num w:numId="23">
    <w:abstractNumId w:val="2"/>
  </w:num>
  <w:num w:numId="24">
    <w:abstractNumId w:val="2"/>
  </w:num>
  <w:num w:numId="25">
    <w:abstractNumId w:val="1"/>
  </w:num>
  <w:num w:numId="26">
    <w:abstractNumId w:val="1"/>
  </w:num>
  <w:num w:numId="27">
    <w:abstractNumId w:val="1"/>
  </w:num>
  <w:num w:numId="28">
    <w:abstractNumId w:val="1"/>
  </w:num>
  <w:num w:numId="2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LockTheme/>
  <w:styleLockQFSet/>
  <w:defaultTabStop w:val="720"/>
  <w:displayHorizontalDrawingGridEvery w:val="0"/>
  <w:displayVerticalDrawingGridEvery w:val="0"/>
  <w:doNotUseMarginsForDrawingGridOrigin/>
  <w:noPunctuationKerning/>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tatus" w:val=" "/>
    <w:docVar w:name="WordOperator" w:val="AMW"/>
  </w:docVars>
  <w:rsids>
    <w:rsidRoot w:val="00386909"/>
    <w:rsid w:val="00012AF2"/>
    <w:rsid w:val="00012CAF"/>
    <w:rsid w:val="0002379D"/>
    <w:rsid w:val="000238E8"/>
    <w:rsid w:val="00024984"/>
    <w:rsid w:val="00031410"/>
    <w:rsid w:val="00031926"/>
    <w:rsid w:val="00037882"/>
    <w:rsid w:val="00053596"/>
    <w:rsid w:val="00056E7C"/>
    <w:rsid w:val="00063563"/>
    <w:rsid w:val="00067DBD"/>
    <w:rsid w:val="00077319"/>
    <w:rsid w:val="000837FA"/>
    <w:rsid w:val="0008559D"/>
    <w:rsid w:val="00087F5D"/>
    <w:rsid w:val="000934B3"/>
    <w:rsid w:val="00096237"/>
    <w:rsid w:val="00096AE7"/>
    <w:rsid w:val="000B298B"/>
    <w:rsid w:val="000D19E2"/>
    <w:rsid w:val="000D1C88"/>
    <w:rsid w:val="000E04E6"/>
    <w:rsid w:val="000E17E0"/>
    <w:rsid w:val="000E33A0"/>
    <w:rsid w:val="000E73E1"/>
    <w:rsid w:val="001025CE"/>
    <w:rsid w:val="00104AA3"/>
    <w:rsid w:val="00105059"/>
    <w:rsid w:val="001132DE"/>
    <w:rsid w:val="00113CF7"/>
    <w:rsid w:val="001150C0"/>
    <w:rsid w:val="00120ADF"/>
    <w:rsid w:val="00126C06"/>
    <w:rsid w:val="0013333A"/>
    <w:rsid w:val="00141477"/>
    <w:rsid w:val="00142B05"/>
    <w:rsid w:val="0015111F"/>
    <w:rsid w:val="0015218D"/>
    <w:rsid w:val="00155FC5"/>
    <w:rsid w:val="001566BF"/>
    <w:rsid w:val="00162DDC"/>
    <w:rsid w:val="001636B5"/>
    <w:rsid w:val="00173B8B"/>
    <w:rsid w:val="00174CDF"/>
    <w:rsid w:val="00180A21"/>
    <w:rsid w:val="001826E7"/>
    <w:rsid w:val="00186326"/>
    <w:rsid w:val="001A5A15"/>
    <w:rsid w:val="001A5D3B"/>
    <w:rsid w:val="001A6FF6"/>
    <w:rsid w:val="001B27E3"/>
    <w:rsid w:val="001C1E02"/>
    <w:rsid w:val="001C2E8F"/>
    <w:rsid w:val="001C5766"/>
    <w:rsid w:val="001C7EEF"/>
    <w:rsid w:val="001D08B0"/>
    <w:rsid w:val="001D161D"/>
    <w:rsid w:val="001D4391"/>
    <w:rsid w:val="001E584D"/>
    <w:rsid w:val="001E70F1"/>
    <w:rsid w:val="001E751E"/>
    <w:rsid w:val="001F0C30"/>
    <w:rsid w:val="001F38CE"/>
    <w:rsid w:val="002007E5"/>
    <w:rsid w:val="002045EF"/>
    <w:rsid w:val="00220B88"/>
    <w:rsid w:val="00236804"/>
    <w:rsid w:val="0023769C"/>
    <w:rsid w:val="00245038"/>
    <w:rsid w:val="00247A45"/>
    <w:rsid w:val="00253F44"/>
    <w:rsid w:val="0026348F"/>
    <w:rsid w:val="00264B6B"/>
    <w:rsid w:val="00282334"/>
    <w:rsid w:val="00286762"/>
    <w:rsid w:val="00286E2E"/>
    <w:rsid w:val="002B7E5F"/>
    <w:rsid w:val="002D6EE4"/>
    <w:rsid w:val="002F7E5F"/>
    <w:rsid w:val="00312F36"/>
    <w:rsid w:val="00313854"/>
    <w:rsid w:val="00313FB6"/>
    <w:rsid w:val="00315887"/>
    <w:rsid w:val="00325C43"/>
    <w:rsid w:val="00326628"/>
    <w:rsid w:val="00333142"/>
    <w:rsid w:val="00333A17"/>
    <w:rsid w:val="00345B4F"/>
    <w:rsid w:val="00350BDE"/>
    <w:rsid w:val="00353D2D"/>
    <w:rsid w:val="00356A70"/>
    <w:rsid w:val="003634F5"/>
    <w:rsid w:val="00370C6A"/>
    <w:rsid w:val="003868C4"/>
    <w:rsid w:val="00386909"/>
    <w:rsid w:val="003972A2"/>
    <w:rsid w:val="003A1D45"/>
    <w:rsid w:val="003A74EC"/>
    <w:rsid w:val="003B1EFB"/>
    <w:rsid w:val="003B67FF"/>
    <w:rsid w:val="003B6803"/>
    <w:rsid w:val="003C6028"/>
    <w:rsid w:val="003D600A"/>
    <w:rsid w:val="003E31F5"/>
    <w:rsid w:val="003E7C76"/>
    <w:rsid w:val="003F191C"/>
    <w:rsid w:val="003F62B4"/>
    <w:rsid w:val="003F7905"/>
    <w:rsid w:val="00400985"/>
    <w:rsid w:val="00404937"/>
    <w:rsid w:val="0040551C"/>
    <w:rsid w:val="00406120"/>
    <w:rsid w:val="00425E30"/>
    <w:rsid w:val="00430A66"/>
    <w:rsid w:val="00437401"/>
    <w:rsid w:val="00442EDF"/>
    <w:rsid w:val="00452248"/>
    <w:rsid w:val="00452FEB"/>
    <w:rsid w:val="0045508B"/>
    <w:rsid w:val="00457F33"/>
    <w:rsid w:val="00476368"/>
    <w:rsid w:val="004766BA"/>
    <w:rsid w:val="0048782D"/>
    <w:rsid w:val="00495EB7"/>
    <w:rsid w:val="004A542A"/>
    <w:rsid w:val="004A63B0"/>
    <w:rsid w:val="004A6645"/>
    <w:rsid w:val="004B0F62"/>
    <w:rsid w:val="004B2C5D"/>
    <w:rsid w:val="004C0C3A"/>
    <w:rsid w:val="004C45B1"/>
    <w:rsid w:val="004D1A98"/>
    <w:rsid w:val="004D7536"/>
    <w:rsid w:val="004E0C63"/>
    <w:rsid w:val="004E0FCC"/>
    <w:rsid w:val="004E7F20"/>
    <w:rsid w:val="005031C4"/>
    <w:rsid w:val="005037DF"/>
    <w:rsid w:val="00510795"/>
    <w:rsid w:val="00510E3A"/>
    <w:rsid w:val="005127E6"/>
    <w:rsid w:val="0051644D"/>
    <w:rsid w:val="00522B68"/>
    <w:rsid w:val="00541976"/>
    <w:rsid w:val="00572941"/>
    <w:rsid w:val="0057306C"/>
    <w:rsid w:val="00573DF0"/>
    <w:rsid w:val="0057402C"/>
    <w:rsid w:val="00575DB9"/>
    <w:rsid w:val="00577B2E"/>
    <w:rsid w:val="005821B1"/>
    <w:rsid w:val="00583922"/>
    <w:rsid w:val="00587A24"/>
    <w:rsid w:val="005A419F"/>
    <w:rsid w:val="005B08BF"/>
    <w:rsid w:val="005C2E38"/>
    <w:rsid w:val="005C3A84"/>
    <w:rsid w:val="005C4544"/>
    <w:rsid w:val="005C526C"/>
    <w:rsid w:val="005C7EC4"/>
    <w:rsid w:val="005D56AB"/>
    <w:rsid w:val="005E566A"/>
    <w:rsid w:val="005F2E65"/>
    <w:rsid w:val="005F5881"/>
    <w:rsid w:val="005F6EBA"/>
    <w:rsid w:val="006066BE"/>
    <w:rsid w:val="006112C5"/>
    <w:rsid w:val="006127BB"/>
    <w:rsid w:val="0062041B"/>
    <w:rsid w:val="00627666"/>
    <w:rsid w:val="0063090D"/>
    <w:rsid w:val="006313E7"/>
    <w:rsid w:val="00632030"/>
    <w:rsid w:val="00633BC5"/>
    <w:rsid w:val="00633F52"/>
    <w:rsid w:val="00642920"/>
    <w:rsid w:val="00642A0B"/>
    <w:rsid w:val="00643138"/>
    <w:rsid w:val="00652355"/>
    <w:rsid w:val="0065325A"/>
    <w:rsid w:val="006545C6"/>
    <w:rsid w:val="00656963"/>
    <w:rsid w:val="00664E51"/>
    <w:rsid w:val="006676CA"/>
    <w:rsid w:val="006769D9"/>
    <w:rsid w:val="006871FE"/>
    <w:rsid w:val="0069062C"/>
    <w:rsid w:val="00692976"/>
    <w:rsid w:val="0069335D"/>
    <w:rsid w:val="00695C22"/>
    <w:rsid w:val="006A2FE7"/>
    <w:rsid w:val="006C12AC"/>
    <w:rsid w:val="006C7A15"/>
    <w:rsid w:val="006D232C"/>
    <w:rsid w:val="006D23FF"/>
    <w:rsid w:val="006D2FCA"/>
    <w:rsid w:val="006E0815"/>
    <w:rsid w:val="006E6886"/>
    <w:rsid w:val="006F0CAB"/>
    <w:rsid w:val="006F6ADC"/>
    <w:rsid w:val="0070085C"/>
    <w:rsid w:val="007032AE"/>
    <w:rsid w:val="00714DB3"/>
    <w:rsid w:val="007152E4"/>
    <w:rsid w:val="00730899"/>
    <w:rsid w:val="00737296"/>
    <w:rsid w:val="00737C7E"/>
    <w:rsid w:val="00741954"/>
    <w:rsid w:val="00742074"/>
    <w:rsid w:val="00757EA6"/>
    <w:rsid w:val="00762F97"/>
    <w:rsid w:val="00763129"/>
    <w:rsid w:val="00763649"/>
    <w:rsid w:val="00764CBF"/>
    <w:rsid w:val="00765AEE"/>
    <w:rsid w:val="00767FAF"/>
    <w:rsid w:val="0077166B"/>
    <w:rsid w:val="00772D95"/>
    <w:rsid w:val="00775661"/>
    <w:rsid w:val="00797BA0"/>
    <w:rsid w:val="007A5899"/>
    <w:rsid w:val="007B126A"/>
    <w:rsid w:val="007B3848"/>
    <w:rsid w:val="007D0015"/>
    <w:rsid w:val="007D43D3"/>
    <w:rsid w:val="007D5A2B"/>
    <w:rsid w:val="007E2414"/>
    <w:rsid w:val="007E2C48"/>
    <w:rsid w:val="007F3B33"/>
    <w:rsid w:val="00820ED0"/>
    <w:rsid w:val="00823E18"/>
    <w:rsid w:val="00824579"/>
    <w:rsid w:val="00841632"/>
    <w:rsid w:val="0084501B"/>
    <w:rsid w:val="00845F28"/>
    <w:rsid w:val="00847689"/>
    <w:rsid w:val="00851260"/>
    <w:rsid w:val="00854A16"/>
    <w:rsid w:val="00863012"/>
    <w:rsid w:val="00863521"/>
    <w:rsid w:val="00865914"/>
    <w:rsid w:val="00870C1C"/>
    <w:rsid w:val="00883BB9"/>
    <w:rsid w:val="00883C7A"/>
    <w:rsid w:val="0088751F"/>
    <w:rsid w:val="008D1CF6"/>
    <w:rsid w:val="008D4C19"/>
    <w:rsid w:val="008D67A3"/>
    <w:rsid w:val="008E044B"/>
    <w:rsid w:val="008E1250"/>
    <w:rsid w:val="008E316A"/>
    <w:rsid w:val="008E691C"/>
    <w:rsid w:val="0091779F"/>
    <w:rsid w:val="009215CC"/>
    <w:rsid w:val="00922AE1"/>
    <w:rsid w:val="00923917"/>
    <w:rsid w:val="009443BD"/>
    <w:rsid w:val="009448AB"/>
    <w:rsid w:val="0094525B"/>
    <w:rsid w:val="009456F4"/>
    <w:rsid w:val="009540A2"/>
    <w:rsid w:val="00955509"/>
    <w:rsid w:val="00960CB8"/>
    <w:rsid w:val="00962D40"/>
    <w:rsid w:val="00972EC7"/>
    <w:rsid w:val="009908F8"/>
    <w:rsid w:val="00990C72"/>
    <w:rsid w:val="00996B03"/>
    <w:rsid w:val="009A45AB"/>
    <w:rsid w:val="009B125D"/>
    <w:rsid w:val="009B6D7A"/>
    <w:rsid w:val="009C51DA"/>
    <w:rsid w:val="009E4B0B"/>
    <w:rsid w:val="009F7569"/>
    <w:rsid w:val="00A3232C"/>
    <w:rsid w:val="00A34701"/>
    <w:rsid w:val="00A3629B"/>
    <w:rsid w:val="00A40F23"/>
    <w:rsid w:val="00A4739F"/>
    <w:rsid w:val="00A47A10"/>
    <w:rsid w:val="00A66124"/>
    <w:rsid w:val="00A82AB9"/>
    <w:rsid w:val="00A86B91"/>
    <w:rsid w:val="00A93733"/>
    <w:rsid w:val="00AA31D8"/>
    <w:rsid w:val="00AA7373"/>
    <w:rsid w:val="00AC3231"/>
    <w:rsid w:val="00AC5E28"/>
    <w:rsid w:val="00AC687C"/>
    <w:rsid w:val="00AE01EA"/>
    <w:rsid w:val="00AE52B5"/>
    <w:rsid w:val="00AE6EAD"/>
    <w:rsid w:val="00AE7ED2"/>
    <w:rsid w:val="00AF6091"/>
    <w:rsid w:val="00B00C73"/>
    <w:rsid w:val="00B03593"/>
    <w:rsid w:val="00B2205F"/>
    <w:rsid w:val="00B22664"/>
    <w:rsid w:val="00B309B2"/>
    <w:rsid w:val="00B32B3B"/>
    <w:rsid w:val="00B33955"/>
    <w:rsid w:val="00B40C6D"/>
    <w:rsid w:val="00B479E4"/>
    <w:rsid w:val="00B61B5A"/>
    <w:rsid w:val="00B6319B"/>
    <w:rsid w:val="00B65B4C"/>
    <w:rsid w:val="00BA050E"/>
    <w:rsid w:val="00BB1628"/>
    <w:rsid w:val="00BB1842"/>
    <w:rsid w:val="00BB451D"/>
    <w:rsid w:val="00BB68DF"/>
    <w:rsid w:val="00BB6ED0"/>
    <w:rsid w:val="00BC7884"/>
    <w:rsid w:val="00BE30FA"/>
    <w:rsid w:val="00BF19E3"/>
    <w:rsid w:val="00BF3C1F"/>
    <w:rsid w:val="00C000D7"/>
    <w:rsid w:val="00C100A3"/>
    <w:rsid w:val="00C13396"/>
    <w:rsid w:val="00C13B05"/>
    <w:rsid w:val="00C1481E"/>
    <w:rsid w:val="00C16EA5"/>
    <w:rsid w:val="00C17B13"/>
    <w:rsid w:val="00C17D87"/>
    <w:rsid w:val="00C3061D"/>
    <w:rsid w:val="00C324D9"/>
    <w:rsid w:val="00C335AB"/>
    <w:rsid w:val="00C454EF"/>
    <w:rsid w:val="00C529D7"/>
    <w:rsid w:val="00C62D81"/>
    <w:rsid w:val="00C638CE"/>
    <w:rsid w:val="00C63F4D"/>
    <w:rsid w:val="00C65C43"/>
    <w:rsid w:val="00C81AEE"/>
    <w:rsid w:val="00C8765E"/>
    <w:rsid w:val="00C90D14"/>
    <w:rsid w:val="00C94CAF"/>
    <w:rsid w:val="00C95629"/>
    <w:rsid w:val="00CB054C"/>
    <w:rsid w:val="00CB69C8"/>
    <w:rsid w:val="00CC16B4"/>
    <w:rsid w:val="00CC6F72"/>
    <w:rsid w:val="00CD174C"/>
    <w:rsid w:val="00CD4103"/>
    <w:rsid w:val="00CE652C"/>
    <w:rsid w:val="00CE7E8D"/>
    <w:rsid w:val="00CF4D24"/>
    <w:rsid w:val="00D048A2"/>
    <w:rsid w:val="00D06D2D"/>
    <w:rsid w:val="00D154B8"/>
    <w:rsid w:val="00D52B94"/>
    <w:rsid w:val="00D573DA"/>
    <w:rsid w:val="00D605C2"/>
    <w:rsid w:val="00D653EC"/>
    <w:rsid w:val="00D6778A"/>
    <w:rsid w:val="00D97346"/>
    <w:rsid w:val="00DA49CC"/>
    <w:rsid w:val="00DB083E"/>
    <w:rsid w:val="00DB28D0"/>
    <w:rsid w:val="00DB6561"/>
    <w:rsid w:val="00DC4652"/>
    <w:rsid w:val="00DD5343"/>
    <w:rsid w:val="00DD76AC"/>
    <w:rsid w:val="00DE553E"/>
    <w:rsid w:val="00E02E0B"/>
    <w:rsid w:val="00E10D08"/>
    <w:rsid w:val="00E1330A"/>
    <w:rsid w:val="00E463C8"/>
    <w:rsid w:val="00E466B7"/>
    <w:rsid w:val="00E55192"/>
    <w:rsid w:val="00E55731"/>
    <w:rsid w:val="00E76A76"/>
    <w:rsid w:val="00E82FFA"/>
    <w:rsid w:val="00E967A1"/>
    <w:rsid w:val="00EA00B3"/>
    <w:rsid w:val="00EB0C03"/>
    <w:rsid w:val="00EB2DB9"/>
    <w:rsid w:val="00EC0106"/>
    <w:rsid w:val="00EF736D"/>
    <w:rsid w:val="00EF7F77"/>
    <w:rsid w:val="00EF7FC7"/>
    <w:rsid w:val="00F0192A"/>
    <w:rsid w:val="00F02F52"/>
    <w:rsid w:val="00F05DCD"/>
    <w:rsid w:val="00F1023E"/>
    <w:rsid w:val="00F41174"/>
    <w:rsid w:val="00F52A42"/>
    <w:rsid w:val="00F609DC"/>
    <w:rsid w:val="00F65C9A"/>
    <w:rsid w:val="00F67401"/>
    <w:rsid w:val="00F67AF5"/>
    <w:rsid w:val="00F719DE"/>
    <w:rsid w:val="00F743E7"/>
    <w:rsid w:val="00F7786C"/>
    <w:rsid w:val="00F84377"/>
    <w:rsid w:val="00F90AA7"/>
    <w:rsid w:val="00F91C1B"/>
    <w:rsid w:val="00F9369D"/>
    <w:rsid w:val="00FA0734"/>
    <w:rsid w:val="00FB57FD"/>
    <w:rsid w:val="00FB5A6C"/>
    <w:rsid w:val="00FC017A"/>
    <w:rsid w:val="00FE670D"/>
    <w:rsid w:val="00FF1EC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1" w:defUIPriority="0" w:defSemiHidden="0" w:defUnhideWhenUsed="0" w:defQFormat="0" w:count="267">
    <w:lsdException w:name="Normal" w:locked="0" w:qFormat="1"/>
    <w:lsdException w:name="heading 1" w:qFormat="1"/>
    <w:lsdException w:name="heading 2" w:qFormat="1"/>
    <w:lsdException w:name="heading 3" w:qFormat="1"/>
    <w:lsdException w:name="heading 4" w:qFormat="1"/>
    <w:lsdException w:name="heading 6" w:qFormat="1"/>
    <w:lsdException w:name="heading 7" w:qFormat="1"/>
    <w:lsdException w:name="heading 8"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Normal Indent" w:semiHidden="1"/>
    <w:lsdException w:name="annotation text" w:semiHidden="1"/>
    <w:lsdException w:name="index heading" w:semiHidden="1"/>
    <w:lsdException w:name="caption" w:qFormat="1"/>
    <w:lsdException w:name="table of figures" w:semiHidden="1" w:uiPriority="99"/>
    <w:lsdException w:name="envelope address" w:semiHidden="1"/>
    <w:lsdException w:name="envelope return" w:semiHidden="1"/>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Closing" w:semiHidden="1"/>
    <w:lsdException w:name="Signature" w:semiHidden="1"/>
    <w:lsdException w:name="Default Paragraph Font" w:locked="0"/>
    <w:lsdException w:name="Body Text" w:qFormat="1"/>
    <w:lsdException w:name="Body Text Indent" w:semiHidden="1" w:unhideWhenUsed="1"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locked="0"/>
    <w:lsdException w:name="HTML Bottom of Form" w:locked="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lsdException w:name="annotation subject" w:semiHidden="1"/>
    <w:lsdException w:name="No List" w:locked="0"/>
    <w:lsdException w:name="Balloon Tex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latentStyles>
  <w:style w:type="paragraph" w:default="1" w:styleId="Normal">
    <w:name w:val="Normal"/>
    <w:qFormat/>
    <w:rsid w:val="005E566A"/>
    <w:pPr>
      <w:spacing w:line="260" w:lineRule="atLeast"/>
    </w:pPr>
    <w:rPr>
      <w:rFonts w:asciiTheme="minorHAnsi" w:hAnsiTheme="minorHAnsi"/>
      <w:lang w:eastAsia="en-GB"/>
    </w:rPr>
  </w:style>
  <w:style w:type="paragraph" w:styleId="Heading1">
    <w:name w:val="heading 1"/>
    <w:basedOn w:val="Normal"/>
    <w:next w:val="BodyText"/>
    <w:qFormat/>
    <w:locked/>
    <w:rsid w:val="001E584D"/>
    <w:pPr>
      <w:keepNext/>
      <w:pageBreakBefore/>
      <w:numPr>
        <w:numId w:val="7"/>
      </w:numPr>
      <w:spacing w:after="240" w:line="240" w:lineRule="auto"/>
      <w:outlineLvl w:val="0"/>
    </w:pPr>
    <w:rPr>
      <w:rFonts w:ascii="Tahoma" w:hAnsi="Tahoma" w:cs="Tahoma"/>
      <w:color w:val="00B0F0"/>
      <w:sz w:val="52"/>
      <w:szCs w:val="52"/>
    </w:rPr>
  </w:style>
  <w:style w:type="paragraph" w:styleId="Heading2">
    <w:name w:val="heading 2"/>
    <w:basedOn w:val="Normal"/>
    <w:next w:val="BodyText"/>
    <w:qFormat/>
    <w:locked/>
    <w:rsid w:val="00C62D81"/>
    <w:pPr>
      <w:keepNext/>
      <w:numPr>
        <w:ilvl w:val="1"/>
        <w:numId w:val="7"/>
      </w:numPr>
      <w:spacing w:before="360" w:after="80" w:line="240" w:lineRule="auto"/>
      <w:outlineLvl w:val="1"/>
    </w:pPr>
    <w:rPr>
      <w:rFonts w:ascii="Tahoma" w:hAnsi="Tahoma" w:cs="Tahoma"/>
      <w:color w:val="00B0F0"/>
      <w:sz w:val="36"/>
      <w:szCs w:val="36"/>
    </w:rPr>
  </w:style>
  <w:style w:type="paragraph" w:styleId="Heading3">
    <w:name w:val="heading 3"/>
    <w:basedOn w:val="Normal"/>
    <w:next w:val="BodyText"/>
    <w:qFormat/>
    <w:locked/>
    <w:rsid w:val="004D7536"/>
    <w:pPr>
      <w:keepNext/>
      <w:numPr>
        <w:ilvl w:val="2"/>
        <w:numId w:val="7"/>
      </w:numPr>
      <w:spacing w:before="360" w:after="120" w:line="240" w:lineRule="auto"/>
      <w:outlineLvl w:val="2"/>
    </w:pPr>
    <w:rPr>
      <w:rFonts w:ascii="Tahoma" w:hAnsi="Tahoma" w:cs="Tahoma"/>
      <w:color w:val="43B1FB"/>
      <w:sz w:val="32"/>
      <w:szCs w:val="32"/>
    </w:rPr>
  </w:style>
  <w:style w:type="paragraph" w:styleId="Heading4">
    <w:name w:val="heading 4"/>
    <w:basedOn w:val="Normal"/>
    <w:next w:val="BodyText"/>
    <w:qFormat/>
    <w:locked/>
    <w:rsid w:val="004D7536"/>
    <w:pPr>
      <w:keepNext/>
      <w:spacing w:before="240" w:after="120" w:line="240" w:lineRule="auto"/>
      <w:outlineLvl w:val="3"/>
    </w:pPr>
    <w:rPr>
      <w:rFonts w:ascii="Tahoma" w:hAnsi="Tahoma" w:cs="Tahoma"/>
      <w:color w:val="43B1FB"/>
      <w:sz w:val="28"/>
      <w:szCs w:val="28"/>
    </w:rPr>
  </w:style>
  <w:style w:type="paragraph" w:styleId="Heading5">
    <w:name w:val="heading 5"/>
    <w:basedOn w:val="Normal"/>
    <w:next w:val="BodyText"/>
    <w:locked/>
    <w:rsid w:val="005E566A"/>
    <w:pPr>
      <w:keepNext/>
      <w:spacing w:before="240" w:after="120" w:line="240" w:lineRule="auto"/>
      <w:outlineLvl w:val="4"/>
    </w:pPr>
    <w:rPr>
      <w:rFonts w:ascii="Tahoma" w:hAnsi="Tahoma"/>
      <w:color w:val="00B0F0"/>
      <w:sz w:val="24"/>
    </w:rPr>
  </w:style>
  <w:style w:type="paragraph" w:styleId="Heading6">
    <w:name w:val="heading 6"/>
    <w:basedOn w:val="Normal"/>
    <w:next w:val="Heading7"/>
    <w:semiHidden/>
    <w:qFormat/>
    <w:locked/>
    <w:rsid w:val="00313FB6"/>
    <w:pPr>
      <w:outlineLvl w:val="5"/>
    </w:pPr>
  </w:style>
  <w:style w:type="paragraph" w:styleId="Heading7">
    <w:name w:val="heading 7"/>
    <w:basedOn w:val="Normal"/>
    <w:next w:val="BodyText"/>
    <w:semiHidden/>
    <w:qFormat/>
    <w:locked/>
    <w:rsid w:val="00313FB6"/>
    <w:pPr>
      <w:outlineLvl w:val="6"/>
    </w:pPr>
  </w:style>
  <w:style w:type="paragraph" w:styleId="Heading8">
    <w:name w:val="heading 8"/>
    <w:basedOn w:val="Normal"/>
    <w:next w:val="BodyText"/>
    <w:semiHidden/>
    <w:qFormat/>
    <w:locked/>
    <w:rsid w:val="00313FB6"/>
    <w:pPr>
      <w:outlineLvl w:val="7"/>
    </w:pPr>
  </w:style>
  <w:style w:type="paragraph" w:styleId="Heading9">
    <w:name w:val="heading 9"/>
    <w:basedOn w:val="Normal"/>
    <w:next w:val="BodyText"/>
    <w:semiHidden/>
    <w:locked/>
    <w:rsid w:val="00313FB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ation">
    <w:name w:val="Quotation"/>
    <w:basedOn w:val="BodyText"/>
    <w:unhideWhenUsed/>
    <w:locked/>
    <w:rsid w:val="001F0C30"/>
    <w:pPr>
      <w:ind w:left="851" w:right="851"/>
    </w:pPr>
    <w:rPr>
      <w:i/>
    </w:rPr>
  </w:style>
  <w:style w:type="paragraph" w:styleId="BodyText">
    <w:name w:val="Body Text"/>
    <w:basedOn w:val="Normal"/>
    <w:link w:val="BodyTextChar"/>
    <w:qFormat/>
    <w:locked/>
    <w:rsid w:val="00643138"/>
    <w:pPr>
      <w:spacing w:before="120" w:after="120"/>
      <w:jc w:val="both"/>
    </w:pPr>
    <w:rPr>
      <w:sz w:val="22"/>
      <w:szCs w:val="22"/>
    </w:rPr>
  </w:style>
  <w:style w:type="character" w:customStyle="1" w:styleId="BodyTextChar">
    <w:name w:val="Body Text Char"/>
    <w:basedOn w:val="DefaultParagraphFont"/>
    <w:link w:val="BodyText"/>
    <w:rsid w:val="00643138"/>
    <w:rPr>
      <w:rFonts w:asciiTheme="minorHAnsi" w:hAnsiTheme="minorHAnsi"/>
      <w:sz w:val="22"/>
      <w:szCs w:val="22"/>
      <w:lang w:eastAsia="en-GB"/>
    </w:rPr>
  </w:style>
  <w:style w:type="paragraph" w:customStyle="1" w:styleId="Introparatext">
    <w:name w:val="Intro para text"/>
    <w:basedOn w:val="BodyText"/>
    <w:next w:val="BodyText"/>
    <w:semiHidden/>
    <w:locked/>
    <w:rsid w:val="00F41174"/>
    <w:pPr>
      <w:spacing w:before="240" w:after="240" w:line="340" w:lineRule="atLeast"/>
      <w:jc w:val="left"/>
    </w:pPr>
    <w:rPr>
      <w:color w:val="808080"/>
      <w:sz w:val="20"/>
    </w:rPr>
  </w:style>
  <w:style w:type="paragraph" w:customStyle="1" w:styleId="TableSource">
    <w:name w:val="Table Source"/>
    <w:basedOn w:val="BodyText"/>
    <w:next w:val="BodyText"/>
    <w:qFormat/>
    <w:locked/>
    <w:rsid w:val="00F90AA7"/>
    <w:pPr>
      <w:spacing w:after="360" w:line="240" w:lineRule="atLeast"/>
      <w:jc w:val="left"/>
    </w:pPr>
    <w:rPr>
      <w:rFonts w:ascii="Tahoma" w:hAnsi="Tahoma" w:cs="Tahoma"/>
      <w:b/>
      <w:color w:val="00B0F0"/>
      <w:sz w:val="16"/>
      <w:szCs w:val="16"/>
    </w:rPr>
  </w:style>
  <w:style w:type="paragraph" w:styleId="Caption">
    <w:name w:val="caption"/>
    <w:basedOn w:val="Normal"/>
    <w:next w:val="Normal"/>
    <w:qFormat/>
    <w:locked/>
    <w:rsid w:val="00F90AA7"/>
    <w:pPr>
      <w:keepNext/>
      <w:spacing w:before="480" w:after="60" w:line="240" w:lineRule="atLeast"/>
    </w:pPr>
    <w:rPr>
      <w:rFonts w:ascii="Tahoma" w:hAnsi="Tahoma" w:cs="Tahoma"/>
      <w:b/>
      <w:bCs/>
      <w:color w:val="43B1FB"/>
      <w:sz w:val="22"/>
      <w:szCs w:val="18"/>
    </w:rPr>
  </w:style>
  <w:style w:type="numbering" w:customStyle="1" w:styleId="NZIERHeadinglist">
    <w:name w:val="NZIER Heading list"/>
    <w:basedOn w:val="NoList"/>
    <w:uiPriority w:val="99"/>
    <w:locked/>
    <w:rsid w:val="00C65C43"/>
    <w:pPr>
      <w:numPr>
        <w:numId w:val="1"/>
      </w:numPr>
    </w:pPr>
  </w:style>
  <w:style w:type="numbering" w:customStyle="1" w:styleId="NZIERBullet1List">
    <w:name w:val="NZIER Bullet 1 List"/>
    <w:basedOn w:val="NZIERHeadinglist"/>
    <w:uiPriority w:val="99"/>
    <w:locked/>
    <w:rsid w:val="00F41174"/>
    <w:pPr>
      <w:numPr>
        <w:numId w:val="2"/>
      </w:numPr>
    </w:pPr>
  </w:style>
  <w:style w:type="paragraph" w:customStyle="1" w:styleId="Bullet">
    <w:name w:val="Bullet"/>
    <w:basedOn w:val="BodyText"/>
    <w:qFormat/>
    <w:locked/>
    <w:rsid w:val="00F41174"/>
    <w:pPr>
      <w:numPr>
        <w:numId w:val="2"/>
      </w:numPr>
      <w:spacing w:before="60" w:after="60"/>
      <w:jc w:val="left"/>
    </w:pPr>
  </w:style>
  <w:style w:type="table" w:styleId="TableClassic1">
    <w:name w:val="Table Classic 1"/>
    <w:basedOn w:val="TableNormal"/>
    <w:locked/>
    <w:rsid w:val="004D7536"/>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ZIERAppendixlist">
    <w:name w:val="NZIER Appendix list"/>
    <w:basedOn w:val="NoList"/>
    <w:uiPriority w:val="99"/>
    <w:locked/>
    <w:rsid w:val="006E0815"/>
    <w:pPr>
      <w:numPr>
        <w:numId w:val="3"/>
      </w:numPr>
    </w:pPr>
  </w:style>
  <w:style w:type="character" w:styleId="PageNumber">
    <w:name w:val="page number"/>
    <w:basedOn w:val="DefaultParagraphFont"/>
    <w:locked/>
    <w:rsid w:val="006313E7"/>
    <w:rPr>
      <w:rFonts w:ascii="Tahoma" w:hAnsi="Tahoma"/>
    </w:rPr>
  </w:style>
  <w:style w:type="paragraph" w:customStyle="1" w:styleId="NonTOCHeading1">
    <w:name w:val="Non TOC Heading 1"/>
    <w:basedOn w:val="Normal"/>
    <w:next w:val="BodyText"/>
    <w:qFormat/>
    <w:locked/>
    <w:rsid w:val="00F9369D"/>
    <w:pPr>
      <w:keepNext/>
      <w:pageBreakBefore/>
      <w:spacing w:after="240" w:line="240" w:lineRule="auto"/>
    </w:pPr>
    <w:rPr>
      <w:rFonts w:ascii="Tahoma" w:hAnsi="Tahoma" w:cs="Tahoma"/>
      <w:color w:val="00B0F0"/>
      <w:sz w:val="44"/>
      <w:szCs w:val="44"/>
    </w:rPr>
  </w:style>
  <w:style w:type="paragraph" w:customStyle="1" w:styleId="NonTOCHeading2">
    <w:name w:val="Non TOC Heading 2"/>
    <w:basedOn w:val="Normal"/>
    <w:next w:val="BodyText"/>
    <w:qFormat/>
    <w:locked/>
    <w:rsid w:val="00F9369D"/>
    <w:pPr>
      <w:keepNext/>
      <w:spacing w:before="360" w:after="80" w:line="240" w:lineRule="auto"/>
    </w:pPr>
    <w:rPr>
      <w:rFonts w:ascii="Tahoma" w:hAnsi="Tahoma"/>
      <w:color w:val="00B0F0"/>
      <w:sz w:val="44"/>
      <w:szCs w:val="44"/>
    </w:rPr>
  </w:style>
  <w:style w:type="paragraph" w:styleId="TOC1">
    <w:name w:val="toc 1"/>
    <w:basedOn w:val="Normal"/>
    <w:next w:val="Normal"/>
    <w:autoRedefine/>
    <w:uiPriority w:val="39"/>
    <w:locked/>
    <w:rsid w:val="0015111F"/>
    <w:pPr>
      <w:tabs>
        <w:tab w:val="right" w:leader="dot" w:pos="7655"/>
      </w:tabs>
      <w:spacing w:after="100" w:line="240" w:lineRule="auto"/>
      <w:ind w:left="851" w:hanging="851"/>
    </w:pPr>
    <w:rPr>
      <w:rFonts w:eastAsiaTheme="minorHAnsi" w:cstheme="minorBidi"/>
      <w:sz w:val="22"/>
      <w:szCs w:val="22"/>
      <w:lang w:eastAsia="en-US"/>
    </w:rPr>
  </w:style>
  <w:style w:type="paragraph" w:styleId="TOC2">
    <w:name w:val="toc 2"/>
    <w:basedOn w:val="Normal"/>
    <w:next w:val="Normal"/>
    <w:uiPriority w:val="39"/>
    <w:locked/>
    <w:rsid w:val="007D5A2B"/>
    <w:pPr>
      <w:tabs>
        <w:tab w:val="left" w:pos="1276"/>
        <w:tab w:val="right" w:leader="dot" w:pos="6804"/>
      </w:tabs>
      <w:spacing w:after="100" w:line="240" w:lineRule="auto"/>
      <w:ind w:left="1276" w:right="567" w:hanging="851"/>
    </w:pPr>
    <w:rPr>
      <w:rFonts w:eastAsiaTheme="minorEastAsia" w:cstheme="minorBidi"/>
      <w:noProof/>
      <w:sz w:val="22"/>
      <w:szCs w:val="22"/>
      <w:lang w:eastAsia="en-NZ"/>
    </w:rPr>
  </w:style>
  <w:style w:type="paragraph" w:styleId="TOC3">
    <w:name w:val="toc 3"/>
    <w:basedOn w:val="Normal"/>
    <w:next w:val="Normal"/>
    <w:autoRedefine/>
    <w:uiPriority w:val="39"/>
    <w:semiHidden/>
    <w:locked/>
    <w:rsid w:val="00541976"/>
    <w:pPr>
      <w:tabs>
        <w:tab w:val="left" w:pos="2268"/>
        <w:tab w:val="right" w:leader="dot" w:pos="6804"/>
      </w:tabs>
      <w:spacing w:before="100" w:line="240" w:lineRule="auto"/>
      <w:ind w:left="1701" w:right="567" w:hanging="567"/>
    </w:pPr>
  </w:style>
  <w:style w:type="paragraph" w:styleId="TOC4">
    <w:name w:val="toc 4"/>
    <w:basedOn w:val="Normal"/>
    <w:next w:val="Normal"/>
    <w:autoRedefine/>
    <w:uiPriority w:val="39"/>
    <w:semiHidden/>
    <w:locked/>
    <w:rsid w:val="00541976"/>
    <w:pPr>
      <w:tabs>
        <w:tab w:val="left" w:pos="2447"/>
        <w:tab w:val="right" w:leader="dot" w:pos="6804"/>
      </w:tabs>
      <w:spacing w:before="100" w:line="240" w:lineRule="auto"/>
      <w:ind w:left="1985" w:right="567" w:hanging="284"/>
    </w:pPr>
  </w:style>
  <w:style w:type="character" w:styleId="Hyperlink">
    <w:name w:val="Hyperlink"/>
    <w:basedOn w:val="DefaultParagraphFont"/>
    <w:uiPriority w:val="99"/>
    <w:unhideWhenUsed/>
    <w:locked/>
    <w:rsid w:val="00E10D08"/>
    <w:rPr>
      <w:color w:val="0000FF" w:themeColor="hyperlink"/>
      <w:u w:val="single"/>
    </w:rPr>
  </w:style>
  <w:style w:type="paragraph" w:customStyle="1" w:styleId="Numberedparagraphs">
    <w:name w:val="Numbered paragraphs"/>
    <w:basedOn w:val="BodyText"/>
    <w:next w:val="Normal"/>
    <w:qFormat/>
    <w:locked/>
    <w:rsid w:val="005E566A"/>
    <w:pPr>
      <w:numPr>
        <w:numId w:val="4"/>
      </w:numPr>
      <w:tabs>
        <w:tab w:val="clear" w:pos="1571"/>
        <w:tab w:val="num" w:pos="851"/>
      </w:tabs>
      <w:spacing w:after="240" w:line="240" w:lineRule="auto"/>
      <w:ind w:left="851" w:hanging="425"/>
      <w:contextualSpacing/>
    </w:pPr>
    <w:rPr>
      <w:rFonts w:ascii="Calibri" w:hAnsi="Calibri"/>
    </w:rPr>
  </w:style>
  <w:style w:type="numbering" w:customStyle="1" w:styleId="NZIERNumberedparagraphsList">
    <w:name w:val="NZIER Numbered paragraphs List"/>
    <w:basedOn w:val="NoList"/>
    <w:uiPriority w:val="99"/>
    <w:locked/>
    <w:rsid w:val="00F719DE"/>
    <w:pPr>
      <w:numPr>
        <w:numId w:val="4"/>
      </w:numPr>
    </w:pPr>
  </w:style>
  <w:style w:type="paragraph" w:customStyle="1" w:styleId="zInstructions">
    <w:name w:val="z_Instructions"/>
    <w:basedOn w:val="BodyText"/>
    <w:semiHidden/>
    <w:locked/>
    <w:rsid w:val="0070085C"/>
    <w:pPr>
      <w:shd w:val="clear" w:color="auto" w:fill="666699"/>
    </w:pPr>
    <w:rPr>
      <w:color w:val="FFFFFF" w:themeColor="background1"/>
    </w:rPr>
  </w:style>
  <w:style w:type="paragraph" w:customStyle="1" w:styleId="zInstructionsbullet">
    <w:name w:val="z_Instructions bullet"/>
    <w:basedOn w:val="zInstructions"/>
    <w:semiHidden/>
    <w:locked/>
    <w:rsid w:val="009C51DA"/>
    <w:pPr>
      <w:numPr>
        <w:numId w:val="5"/>
      </w:numPr>
    </w:pPr>
  </w:style>
  <w:style w:type="numbering" w:customStyle="1" w:styleId="NZIERInstructionsbullet">
    <w:name w:val="NZIER Instructions bullet"/>
    <w:basedOn w:val="NoList"/>
    <w:uiPriority w:val="99"/>
    <w:locked/>
    <w:rsid w:val="009C51DA"/>
    <w:pPr>
      <w:numPr>
        <w:numId w:val="5"/>
      </w:numPr>
    </w:pPr>
  </w:style>
  <w:style w:type="paragraph" w:styleId="Header">
    <w:name w:val="header"/>
    <w:basedOn w:val="Normal"/>
    <w:link w:val="HeaderChar"/>
    <w:semiHidden/>
    <w:locked/>
    <w:rsid w:val="00B22664"/>
    <w:pPr>
      <w:tabs>
        <w:tab w:val="center" w:pos="4513"/>
        <w:tab w:val="right" w:pos="9026"/>
      </w:tabs>
      <w:spacing w:line="240" w:lineRule="auto"/>
    </w:pPr>
  </w:style>
  <w:style w:type="character" w:customStyle="1" w:styleId="HeaderChar">
    <w:name w:val="Header Char"/>
    <w:basedOn w:val="DefaultParagraphFont"/>
    <w:link w:val="Header"/>
    <w:semiHidden/>
    <w:rsid w:val="000934B3"/>
    <w:rPr>
      <w:rFonts w:ascii="Tahoma" w:hAnsi="Tahoma"/>
      <w:sz w:val="17"/>
      <w:lang w:eastAsia="en-GB"/>
    </w:rPr>
  </w:style>
  <w:style w:type="paragraph" w:styleId="Footer">
    <w:name w:val="footer"/>
    <w:basedOn w:val="Normal"/>
    <w:link w:val="FooterChar"/>
    <w:semiHidden/>
    <w:locked/>
    <w:rsid w:val="00315887"/>
    <w:pPr>
      <w:pBdr>
        <w:top w:val="single" w:sz="6" w:space="3" w:color="666680"/>
      </w:pBdr>
      <w:tabs>
        <w:tab w:val="right" w:pos="6804"/>
      </w:tabs>
      <w:spacing w:line="240" w:lineRule="auto"/>
    </w:pPr>
  </w:style>
  <w:style w:type="character" w:customStyle="1" w:styleId="FooterChar">
    <w:name w:val="Footer Char"/>
    <w:basedOn w:val="DefaultParagraphFont"/>
    <w:link w:val="Footer"/>
    <w:semiHidden/>
    <w:rsid w:val="000934B3"/>
    <w:rPr>
      <w:rFonts w:ascii="Tahoma" w:hAnsi="Tahoma"/>
      <w:sz w:val="17"/>
      <w:lang w:eastAsia="en-GB"/>
    </w:rPr>
  </w:style>
  <w:style w:type="paragraph" w:styleId="TOCHeading">
    <w:name w:val="TOC Heading"/>
    <w:basedOn w:val="Heading1"/>
    <w:next w:val="Normal"/>
    <w:uiPriority w:val="39"/>
    <w:semiHidden/>
    <w:locked/>
    <w:rsid w:val="00325C43"/>
    <w:pPr>
      <w:keepLines/>
      <w:pageBreakBefore w:val="0"/>
      <w:spacing w:before="480" w:after="0" w:line="276" w:lineRule="auto"/>
      <w:outlineLvl w:val="9"/>
    </w:pPr>
    <w:rPr>
      <w:rFonts w:asciiTheme="majorHAnsi" w:eastAsiaTheme="majorEastAsia" w:hAnsiTheme="majorHAnsi" w:cstheme="majorBidi"/>
      <w:b/>
      <w:bCs/>
      <w:color w:val="365F91" w:themeColor="accent1" w:themeShade="BF"/>
      <w:sz w:val="28"/>
      <w:szCs w:val="28"/>
      <w:lang w:val="en-US" w:eastAsia="en-US"/>
    </w:rPr>
  </w:style>
  <w:style w:type="paragraph" w:styleId="BalloonText">
    <w:name w:val="Balloon Text"/>
    <w:basedOn w:val="Normal"/>
    <w:link w:val="BalloonTextChar"/>
    <w:semiHidden/>
    <w:locked/>
    <w:rsid w:val="00325C43"/>
    <w:pPr>
      <w:spacing w:line="240" w:lineRule="auto"/>
    </w:pPr>
    <w:rPr>
      <w:rFonts w:cs="Tahoma"/>
      <w:sz w:val="16"/>
      <w:szCs w:val="16"/>
    </w:rPr>
  </w:style>
  <w:style w:type="character" w:customStyle="1" w:styleId="BalloonTextChar">
    <w:name w:val="Balloon Text Char"/>
    <w:basedOn w:val="DefaultParagraphFont"/>
    <w:link w:val="BalloonText"/>
    <w:semiHidden/>
    <w:rsid w:val="00325C43"/>
    <w:rPr>
      <w:rFonts w:ascii="Tahoma" w:hAnsi="Tahoma" w:cs="Tahoma"/>
      <w:sz w:val="16"/>
      <w:szCs w:val="16"/>
      <w:lang w:eastAsia="en-GB"/>
    </w:rPr>
  </w:style>
  <w:style w:type="paragraph" w:styleId="Title">
    <w:name w:val="Title"/>
    <w:basedOn w:val="Normal"/>
    <w:next w:val="Normal"/>
    <w:link w:val="TitleChar"/>
    <w:semiHidden/>
    <w:locked/>
    <w:rsid w:val="00AC5E28"/>
    <w:pPr>
      <w:keepNext/>
      <w:spacing w:before="1134" w:after="240" w:line="240" w:lineRule="auto"/>
    </w:pPr>
    <w:rPr>
      <w:rFonts w:ascii="Myriad Pro" w:hAnsi="Myriad Pro"/>
      <w:sz w:val="52"/>
    </w:rPr>
  </w:style>
  <w:style w:type="character" w:customStyle="1" w:styleId="TitleChar">
    <w:name w:val="Title Char"/>
    <w:basedOn w:val="DefaultParagraphFont"/>
    <w:link w:val="Title"/>
    <w:semiHidden/>
    <w:rsid w:val="000934B3"/>
    <w:rPr>
      <w:rFonts w:ascii="Myriad Pro" w:hAnsi="Myriad Pro"/>
      <w:sz w:val="52"/>
      <w:lang w:eastAsia="en-GB"/>
    </w:rPr>
  </w:style>
  <w:style w:type="paragraph" w:customStyle="1" w:styleId="zReporttitle">
    <w:name w:val="z_Report title"/>
    <w:basedOn w:val="Title"/>
    <w:semiHidden/>
    <w:locked/>
    <w:rsid w:val="00572941"/>
  </w:style>
  <w:style w:type="paragraph" w:customStyle="1" w:styleId="zReportsubtitle">
    <w:name w:val="z_Report sub title"/>
    <w:basedOn w:val="Normal"/>
    <w:semiHidden/>
    <w:locked/>
    <w:rsid w:val="00AC5E28"/>
    <w:pPr>
      <w:spacing w:before="360" w:after="240" w:line="240" w:lineRule="auto"/>
    </w:pPr>
    <w:rPr>
      <w:rFonts w:ascii="Myriad Pro" w:hAnsi="Myriad Pro"/>
      <w:sz w:val="32"/>
    </w:rPr>
  </w:style>
  <w:style w:type="paragraph" w:customStyle="1" w:styleId="zReportdate">
    <w:name w:val="z_Report date"/>
    <w:basedOn w:val="Normal"/>
    <w:semiHidden/>
    <w:locked/>
    <w:rsid w:val="00AC5E28"/>
    <w:pPr>
      <w:spacing w:after="120"/>
    </w:pPr>
    <w:rPr>
      <w:rFonts w:ascii="Myriad Pro" w:hAnsi="Myriad Pro"/>
      <w:color w:val="808080"/>
      <w:sz w:val="24"/>
    </w:rPr>
  </w:style>
  <w:style w:type="paragraph" w:customStyle="1" w:styleId="zDocumenttype">
    <w:name w:val="z_Document type"/>
    <w:basedOn w:val="Normal"/>
    <w:semiHidden/>
    <w:locked/>
    <w:rsid w:val="009E4B0B"/>
    <w:pPr>
      <w:spacing w:before="420"/>
      <w:jc w:val="right"/>
    </w:pPr>
    <w:rPr>
      <w:color w:val="FFFFFF" w:themeColor="background1"/>
    </w:rPr>
  </w:style>
  <w:style w:type="paragraph" w:customStyle="1" w:styleId="Tabletext">
    <w:name w:val="Table text"/>
    <w:basedOn w:val="BodyText"/>
    <w:qFormat/>
    <w:locked/>
    <w:rsid w:val="00F90AA7"/>
    <w:pPr>
      <w:spacing w:before="60" w:after="60" w:line="200" w:lineRule="atLeast"/>
      <w:jc w:val="left"/>
    </w:pPr>
    <w:rPr>
      <w:kern w:val="20"/>
      <w:sz w:val="18"/>
      <w:szCs w:val="18"/>
      <w:lang w:eastAsia="en-US"/>
    </w:rPr>
  </w:style>
  <w:style w:type="paragraph" w:customStyle="1" w:styleId="zWebpage">
    <w:name w:val="z_Web page"/>
    <w:basedOn w:val="BodyText"/>
    <w:semiHidden/>
    <w:locked/>
    <w:rsid w:val="00315887"/>
    <w:pPr>
      <w:spacing w:after="0"/>
    </w:pPr>
    <w:rPr>
      <w:rFonts w:ascii="Myriad Pro" w:hAnsi="Myriad Pro"/>
      <w:b/>
      <w:sz w:val="36"/>
      <w:szCs w:val="36"/>
    </w:rPr>
  </w:style>
  <w:style w:type="paragraph" w:customStyle="1" w:styleId="zAddressdetails">
    <w:name w:val="z_Address details"/>
    <w:basedOn w:val="Normal"/>
    <w:semiHidden/>
    <w:locked/>
    <w:rsid w:val="00315887"/>
    <w:pPr>
      <w:spacing w:after="120" w:line="200" w:lineRule="atLeast"/>
    </w:pPr>
    <w:rPr>
      <w:sz w:val="14"/>
      <w:szCs w:val="14"/>
    </w:rPr>
  </w:style>
  <w:style w:type="paragraph" w:customStyle="1" w:styleId="NonTOCHeading3">
    <w:name w:val="Non TOC Heading 3"/>
    <w:basedOn w:val="Normal"/>
    <w:next w:val="Normal"/>
    <w:qFormat/>
    <w:locked/>
    <w:rsid w:val="00F9369D"/>
    <w:pPr>
      <w:spacing w:before="240" w:after="120" w:line="240" w:lineRule="auto"/>
    </w:pPr>
    <w:rPr>
      <w:rFonts w:ascii="Tahoma" w:hAnsi="Tahoma" w:cs="Tahoma"/>
      <w:color w:val="00B0F0"/>
      <w:sz w:val="22"/>
      <w:szCs w:val="22"/>
    </w:rPr>
  </w:style>
  <w:style w:type="paragraph" w:customStyle="1" w:styleId="zFooterEvenLandscape">
    <w:name w:val="z_Footer Even Landscape"/>
    <w:basedOn w:val="zFooterOddLandscape"/>
    <w:semiHidden/>
    <w:locked/>
    <w:rsid w:val="00C13B05"/>
  </w:style>
  <w:style w:type="paragraph" w:customStyle="1" w:styleId="zFooterEvenPortrait">
    <w:name w:val="z_Footer Even Portrait"/>
    <w:basedOn w:val="zFooterOddPortrait"/>
    <w:semiHidden/>
    <w:locked/>
    <w:rsid w:val="00353D2D"/>
    <w:rPr>
      <w:noProof/>
    </w:rPr>
  </w:style>
  <w:style w:type="paragraph" w:customStyle="1" w:styleId="zFooterOddLandscape">
    <w:name w:val="z_Footer Odd Landscape"/>
    <w:basedOn w:val="zFooterOddPortrait"/>
    <w:semiHidden/>
    <w:locked/>
    <w:rsid w:val="00C13B05"/>
    <w:pPr>
      <w:tabs>
        <w:tab w:val="clear" w:pos="6804"/>
        <w:tab w:val="right" w:pos="14600"/>
      </w:tabs>
    </w:pPr>
  </w:style>
  <w:style w:type="paragraph" w:customStyle="1" w:styleId="zFooterOddPortrait">
    <w:name w:val="z_Footer Odd Portrait"/>
    <w:basedOn w:val="Footer"/>
    <w:semiHidden/>
    <w:locked/>
    <w:rsid w:val="005F2E65"/>
  </w:style>
  <w:style w:type="table" w:styleId="TableGrid">
    <w:name w:val="Table Grid"/>
    <w:basedOn w:val="TableNormal"/>
    <w:locked/>
    <w:rsid w:val="00656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locked/>
    <w:rsid w:val="006E0815"/>
    <w:pPr>
      <w:tabs>
        <w:tab w:val="left" w:pos="284"/>
      </w:tabs>
      <w:spacing w:after="60" w:line="160" w:lineRule="atLeast"/>
      <w:ind w:left="568" w:hanging="284"/>
    </w:pPr>
    <w:rPr>
      <w:sz w:val="14"/>
    </w:rPr>
  </w:style>
  <w:style w:type="character" w:customStyle="1" w:styleId="FootnoteTextChar">
    <w:name w:val="Footnote Text Char"/>
    <w:basedOn w:val="DefaultParagraphFont"/>
    <w:link w:val="FootnoteText"/>
    <w:rsid w:val="00F05DCD"/>
    <w:rPr>
      <w:rFonts w:asciiTheme="minorHAnsi" w:hAnsiTheme="minorHAnsi"/>
      <w:sz w:val="14"/>
      <w:lang w:eastAsia="en-GB"/>
    </w:rPr>
  </w:style>
  <w:style w:type="character" w:styleId="FootnoteReference">
    <w:name w:val="footnote reference"/>
    <w:basedOn w:val="DefaultParagraphFont"/>
    <w:unhideWhenUsed/>
    <w:locked/>
    <w:rsid w:val="00824579"/>
    <w:rPr>
      <w:rFonts w:ascii="Tahoma" w:hAnsi="Tahoma"/>
      <w:sz w:val="16"/>
      <w:vertAlign w:val="superscript"/>
    </w:rPr>
  </w:style>
  <w:style w:type="paragraph" w:customStyle="1" w:styleId="Bullet2ndlevel">
    <w:name w:val="Bullet 2nd level"/>
    <w:basedOn w:val="Bullet"/>
    <w:unhideWhenUsed/>
    <w:locked/>
    <w:rsid w:val="00C16EA5"/>
    <w:pPr>
      <w:numPr>
        <w:ilvl w:val="1"/>
      </w:numPr>
    </w:pPr>
  </w:style>
  <w:style w:type="paragraph" w:customStyle="1" w:styleId="Bullet3rdlevel">
    <w:name w:val="Bullet 3rd level"/>
    <w:basedOn w:val="Bullet"/>
    <w:unhideWhenUsed/>
    <w:locked/>
    <w:rsid w:val="00C16EA5"/>
    <w:pPr>
      <w:numPr>
        <w:ilvl w:val="2"/>
      </w:numPr>
    </w:pPr>
  </w:style>
  <w:style w:type="paragraph" w:customStyle="1" w:styleId="Tablesubheading">
    <w:name w:val="Table subheading"/>
    <w:basedOn w:val="BodyText"/>
    <w:rsid w:val="00F90AA7"/>
    <w:pPr>
      <w:keepNext/>
      <w:spacing w:before="0" w:line="240" w:lineRule="auto"/>
    </w:pPr>
    <w:rPr>
      <w:rFonts w:ascii="Tahoma" w:hAnsi="Tahoma"/>
      <w:sz w:val="17"/>
    </w:rPr>
  </w:style>
  <w:style w:type="paragraph" w:styleId="ListParagraph">
    <w:name w:val="List Paragraph"/>
    <w:basedOn w:val="Normal"/>
    <w:uiPriority w:val="34"/>
    <w:qFormat/>
    <w:locked/>
    <w:rsid w:val="00DA49CC"/>
    <w:pPr>
      <w:ind w:left="720"/>
      <w:contextualSpacing/>
    </w:pPr>
  </w:style>
  <w:style w:type="paragraph" w:customStyle="1" w:styleId="NZIERTitle">
    <w:name w:val="NZIER Title"/>
    <w:next w:val="Normal"/>
    <w:qFormat/>
    <w:rsid w:val="00220B88"/>
    <w:pPr>
      <w:spacing w:before="1134" w:after="120"/>
    </w:pPr>
    <w:rPr>
      <w:rFonts w:ascii="Tahoma" w:hAnsi="Tahoma" w:cs="Tahoma"/>
      <w:color w:val="00B0F0"/>
      <w:sz w:val="56"/>
      <w:szCs w:val="56"/>
      <w:lang w:eastAsia="en-GB"/>
    </w:rPr>
  </w:style>
  <w:style w:type="paragraph" w:customStyle="1" w:styleId="NZIERSubtitle">
    <w:name w:val="NZIER Subtitle"/>
    <w:next w:val="Normal"/>
    <w:qFormat/>
    <w:rsid w:val="00220B88"/>
    <w:pPr>
      <w:spacing w:before="120" w:after="480"/>
    </w:pPr>
    <w:rPr>
      <w:rFonts w:ascii="Tahoma" w:hAnsi="Tahoma"/>
      <w:sz w:val="32"/>
      <w:lang w:eastAsia="en-GB"/>
    </w:rPr>
  </w:style>
  <w:style w:type="paragraph" w:customStyle="1" w:styleId="Tableheading">
    <w:name w:val="Table heading"/>
    <w:basedOn w:val="Normal"/>
    <w:next w:val="Tabletext"/>
    <w:qFormat/>
    <w:rsid w:val="005E566A"/>
    <w:pPr>
      <w:keepNext/>
      <w:spacing w:before="120" w:after="120"/>
    </w:pPr>
    <w:rPr>
      <w:rFonts w:ascii="Tahoma" w:hAnsi="Tahoma"/>
      <w:b/>
      <w:color w:val="FFFFFF" w:themeColor="background1"/>
      <w:sz w:val="17"/>
    </w:rPr>
  </w:style>
  <w:style w:type="paragraph" w:customStyle="1" w:styleId="NonTOCHeading24pt">
    <w:name w:val="Non TOC Heading 24pt"/>
    <w:basedOn w:val="NonTOCHeading1"/>
    <w:qFormat/>
    <w:rsid w:val="00F9369D"/>
    <w:rPr>
      <w:sz w:val="48"/>
    </w:rPr>
  </w:style>
  <w:style w:type="table" w:customStyle="1" w:styleId="NZIERTable">
    <w:name w:val="NZIER Table"/>
    <w:basedOn w:val="TableNormal"/>
    <w:uiPriority w:val="99"/>
    <w:rsid w:val="004D7536"/>
    <w:pPr>
      <w:spacing w:before="60" w:after="60"/>
    </w:pPr>
    <w:rPr>
      <w:rFonts w:ascii="Calibri" w:hAnsi="Calibri"/>
      <w:sz w:val="18"/>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rFonts w:ascii="Calibri" w:hAnsi="Calibri"/>
        <w:color w:val="FFFFFF" w:themeColor="background1"/>
        <w:sz w:val="18"/>
      </w:rPr>
      <w:tblPr/>
      <w:tcPr>
        <w:shd w:val="clear" w:color="auto" w:fill="00B0F0"/>
      </w:tcPr>
    </w:tblStylePr>
  </w:style>
  <w:style w:type="paragraph" w:customStyle="1" w:styleId="Appendixheading1">
    <w:name w:val="Appendix heading 1"/>
    <w:basedOn w:val="Normal"/>
    <w:next w:val="BodyText"/>
    <w:qFormat/>
    <w:locked/>
    <w:rsid w:val="00C000D7"/>
    <w:pPr>
      <w:keepNext/>
      <w:pageBreakBefore/>
      <w:numPr>
        <w:numId w:val="6"/>
      </w:numPr>
      <w:spacing w:before="240" w:after="120" w:line="240" w:lineRule="auto"/>
      <w:outlineLvl w:val="0"/>
    </w:pPr>
    <w:rPr>
      <w:rFonts w:ascii="Tahoma" w:hAnsi="Tahoma"/>
      <w:color w:val="00B0F0"/>
      <w:sz w:val="56"/>
    </w:rPr>
  </w:style>
  <w:style w:type="paragraph" w:customStyle="1" w:styleId="Appendixheading2">
    <w:name w:val="Appendix heading 2"/>
    <w:basedOn w:val="Normal"/>
    <w:next w:val="BodyText"/>
    <w:qFormat/>
    <w:locked/>
    <w:rsid w:val="00C000D7"/>
    <w:pPr>
      <w:keepNext/>
      <w:numPr>
        <w:ilvl w:val="1"/>
        <w:numId w:val="6"/>
      </w:numPr>
      <w:spacing w:before="360" w:after="80" w:line="240" w:lineRule="auto"/>
    </w:pPr>
    <w:rPr>
      <w:rFonts w:ascii="Tahoma" w:hAnsi="Tahoma"/>
      <w:color w:val="00B0F0"/>
      <w:sz w:val="28"/>
    </w:rPr>
  </w:style>
  <w:style w:type="paragraph" w:customStyle="1" w:styleId="Appendixheading3">
    <w:name w:val="Appendix heading 3"/>
    <w:basedOn w:val="Normal"/>
    <w:next w:val="BodyText"/>
    <w:qFormat/>
    <w:locked/>
    <w:rsid w:val="00C000D7"/>
    <w:pPr>
      <w:numPr>
        <w:ilvl w:val="2"/>
        <w:numId w:val="6"/>
      </w:numPr>
      <w:spacing w:before="240" w:after="120" w:line="240" w:lineRule="auto"/>
    </w:pPr>
    <w:rPr>
      <w:rFonts w:ascii="Tahoma" w:hAnsi="Tahoma"/>
      <w:color w:val="00B0F0"/>
      <w:sz w:val="24"/>
    </w:rPr>
  </w:style>
  <w:style w:type="paragraph" w:customStyle="1" w:styleId="UnnumberedHeading1">
    <w:name w:val="Unnumbered Heading 1"/>
    <w:basedOn w:val="Normal"/>
    <w:next w:val="BodyText"/>
    <w:qFormat/>
    <w:locked/>
    <w:rsid w:val="005B08BF"/>
    <w:pPr>
      <w:keepNext/>
      <w:pageBreakBefore/>
      <w:spacing w:after="120" w:line="240" w:lineRule="auto"/>
    </w:pPr>
    <w:rPr>
      <w:rFonts w:ascii="Tahoma" w:hAnsi="Tahoma"/>
      <w:color w:val="00B0F0"/>
      <w:sz w:val="56"/>
    </w:rPr>
  </w:style>
  <w:style w:type="paragraph" w:customStyle="1" w:styleId="UnnumberedHeading2">
    <w:name w:val="Unnumbered Heading 2"/>
    <w:basedOn w:val="Normal"/>
    <w:next w:val="BodyText"/>
    <w:qFormat/>
    <w:locked/>
    <w:rsid w:val="00741954"/>
    <w:pPr>
      <w:keepNext/>
      <w:spacing w:before="360" w:after="80" w:line="240" w:lineRule="auto"/>
    </w:pPr>
    <w:rPr>
      <w:rFonts w:ascii="Tahoma" w:hAnsi="Tahoma"/>
      <w:color w:val="00B0F0"/>
      <w:sz w:val="28"/>
    </w:rPr>
  </w:style>
  <w:style w:type="paragraph" w:customStyle="1" w:styleId="UnnumberedHeading3">
    <w:name w:val="Unnumbered Heading 3"/>
    <w:basedOn w:val="Normal"/>
    <w:next w:val="BodyText"/>
    <w:qFormat/>
    <w:locked/>
    <w:rsid w:val="00741954"/>
    <w:pPr>
      <w:keepNext/>
      <w:spacing w:before="240" w:after="120" w:line="240" w:lineRule="auto"/>
    </w:pPr>
    <w:rPr>
      <w:rFonts w:ascii="Tahoma" w:hAnsi="Tahoma"/>
      <w:color w:val="00B0F0"/>
      <w:sz w:val="24"/>
    </w:rPr>
  </w:style>
  <w:style w:type="paragraph" w:customStyle="1" w:styleId="UnnumberedHeading4">
    <w:name w:val="Unnumbered Heading 4"/>
    <w:basedOn w:val="Normal"/>
    <w:next w:val="BodyText"/>
    <w:qFormat/>
    <w:locked/>
    <w:rsid w:val="00741954"/>
    <w:pPr>
      <w:keepNext/>
      <w:spacing w:before="240" w:after="120" w:line="240" w:lineRule="auto"/>
    </w:pPr>
    <w:rPr>
      <w:rFonts w:ascii="Tahoma" w:hAnsi="Tahoma"/>
      <w:color w:val="00B0F0"/>
      <w:sz w:val="22"/>
    </w:rPr>
  </w:style>
  <w:style w:type="paragraph" w:styleId="TableofFigures">
    <w:name w:val="table of figures"/>
    <w:basedOn w:val="Normal"/>
    <w:next w:val="Normal"/>
    <w:uiPriority w:val="99"/>
    <w:locked/>
    <w:rsid w:val="00C94CAF"/>
  </w:style>
  <w:style w:type="paragraph" w:customStyle="1" w:styleId="Default">
    <w:name w:val="Default"/>
    <w:rsid w:val="00823E1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1" w:defUIPriority="0" w:defSemiHidden="0" w:defUnhideWhenUsed="0" w:defQFormat="0" w:count="267">
    <w:lsdException w:name="Normal" w:locked="0" w:qFormat="1"/>
    <w:lsdException w:name="heading 1" w:qFormat="1"/>
    <w:lsdException w:name="heading 2" w:qFormat="1"/>
    <w:lsdException w:name="heading 3" w:qFormat="1"/>
    <w:lsdException w:name="heading 4" w:qFormat="1"/>
    <w:lsdException w:name="heading 6" w:qFormat="1"/>
    <w:lsdException w:name="heading 7" w:qFormat="1"/>
    <w:lsdException w:name="heading 8"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Normal Indent" w:semiHidden="1"/>
    <w:lsdException w:name="annotation text" w:semiHidden="1"/>
    <w:lsdException w:name="index heading" w:semiHidden="1"/>
    <w:lsdException w:name="caption" w:qFormat="1"/>
    <w:lsdException w:name="table of figures" w:semiHidden="1" w:uiPriority="99"/>
    <w:lsdException w:name="envelope address" w:semiHidden="1"/>
    <w:lsdException w:name="envelope return" w:semiHidden="1"/>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Closing" w:semiHidden="1"/>
    <w:lsdException w:name="Signature" w:semiHidden="1"/>
    <w:lsdException w:name="Default Paragraph Font" w:locked="0"/>
    <w:lsdException w:name="Body Text" w:qFormat="1"/>
    <w:lsdException w:name="Body Text Indent" w:semiHidden="1" w:unhideWhenUsed="1"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locked="0"/>
    <w:lsdException w:name="HTML Bottom of Form" w:locked="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lsdException w:name="annotation subject" w:semiHidden="1"/>
    <w:lsdException w:name="No List" w:locked="0"/>
    <w:lsdException w:name="Balloon Tex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latentStyles>
  <w:style w:type="paragraph" w:default="1" w:styleId="Normal">
    <w:name w:val="Normal"/>
    <w:qFormat/>
    <w:rsid w:val="005E566A"/>
    <w:pPr>
      <w:spacing w:line="260" w:lineRule="atLeast"/>
    </w:pPr>
    <w:rPr>
      <w:rFonts w:asciiTheme="minorHAnsi" w:hAnsiTheme="minorHAnsi"/>
      <w:lang w:eastAsia="en-GB"/>
    </w:rPr>
  </w:style>
  <w:style w:type="paragraph" w:styleId="Heading1">
    <w:name w:val="heading 1"/>
    <w:basedOn w:val="Normal"/>
    <w:next w:val="BodyText"/>
    <w:qFormat/>
    <w:locked/>
    <w:rsid w:val="001E584D"/>
    <w:pPr>
      <w:keepNext/>
      <w:pageBreakBefore/>
      <w:numPr>
        <w:numId w:val="7"/>
      </w:numPr>
      <w:spacing w:after="240" w:line="240" w:lineRule="auto"/>
      <w:outlineLvl w:val="0"/>
    </w:pPr>
    <w:rPr>
      <w:rFonts w:ascii="Tahoma" w:hAnsi="Tahoma" w:cs="Tahoma"/>
      <w:color w:val="00B0F0"/>
      <w:sz w:val="52"/>
      <w:szCs w:val="52"/>
    </w:rPr>
  </w:style>
  <w:style w:type="paragraph" w:styleId="Heading2">
    <w:name w:val="heading 2"/>
    <w:basedOn w:val="Normal"/>
    <w:next w:val="BodyText"/>
    <w:qFormat/>
    <w:locked/>
    <w:rsid w:val="00C62D81"/>
    <w:pPr>
      <w:keepNext/>
      <w:numPr>
        <w:ilvl w:val="1"/>
        <w:numId w:val="7"/>
      </w:numPr>
      <w:spacing w:before="360" w:after="80" w:line="240" w:lineRule="auto"/>
      <w:outlineLvl w:val="1"/>
    </w:pPr>
    <w:rPr>
      <w:rFonts w:ascii="Tahoma" w:hAnsi="Tahoma" w:cs="Tahoma"/>
      <w:color w:val="00B0F0"/>
      <w:sz w:val="36"/>
      <w:szCs w:val="36"/>
    </w:rPr>
  </w:style>
  <w:style w:type="paragraph" w:styleId="Heading3">
    <w:name w:val="heading 3"/>
    <w:basedOn w:val="Normal"/>
    <w:next w:val="BodyText"/>
    <w:qFormat/>
    <w:locked/>
    <w:rsid w:val="004D7536"/>
    <w:pPr>
      <w:keepNext/>
      <w:numPr>
        <w:ilvl w:val="2"/>
        <w:numId w:val="7"/>
      </w:numPr>
      <w:spacing w:before="360" w:after="120" w:line="240" w:lineRule="auto"/>
      <w:outlineLvl w:val="2"/>
    </w:pPr>
    <w:rPr>
      <w:rFonts w:ascii="Tahoma" w:hAnsi="Tahoma" w:cs="Tahoma"/>
      <w:color w:val="43B1FB"/>
      <w:sz w:val="32"/>
      <w:szCs w:val="32"/>
    </w:rPr>
  </w:style>
  <w:style w:type="paragraph" w:styleId="Heading4">
    <w:name w:val="heading 4"/>
    <w:basedOn w:val="Normal"/>
    <w:next w:val="BodyText"/>
    <w:qFormat/>
    <w:locked/>
    <w:rsid w:val="004D7536"/>
    <w:pPr>
      <w:keepNext/>
      <w:spacing w:before="240" w:after="120" w:line="240" w:lineRule="auto"/>
      <w:outlineLvl w:val="3"/>
    </w:pPr>
    <w:rPr>
      <w:rFonts w:ascii="Tahoma" w:hAnsi="Tahoma" w:cs="Tahoma"/>
      <w:color w:val="43B1FB"/>
      <w:sz w:val="28"/>
      <w:szCs w:val="28"/>
    </w:rPr>
  </w:style>
  <w:style w:type="paragraph" w:styleId="Heading5">
    <w:name w:val="heading 5"/>
    <w:basedOn w:val="Normal"/>
    <w:next w:val="BodyText"/>
    <w:locked/>
    <w:rsid w:val="005E566A"/>
    <w:pPr>
      <w:keepNext/>
      <w:spacing w:before="240" w:after="120" w:line="240" w:lineRule="auto"/>
      <w:outlineLvl w:val="4"/>
    </w:pPr>
    <w:rPr>
      <w:rFonts w:ascii="Tahoma" w:hAnsi="Tahoma"/>
      <w:color w:val="00B0F0"/>
      <w:sz w:val="24"/>
    </w:rPr>
  </w:style>
  <w:style w:type="paragraph" w:styleId="Heading6">
    <w:name w:val="heading 6"/>
    <w:basedOn w:val="Normal"/>
    <w:next w:val="Heading7"/>
    <w:semiHidden/>
    <w:qFormat/>
    <w:locked/>
    <w:rsid w:val="00313FB6"/>
    <w:pPr>
      <w:outlineLvl w:val="5"/>
    </w:pPr>
  </w:style>
  <w:style w:type="paragraph" w:styleId="Heading7">
    <w:name w:val="heading 7"/>
    <w:basedOn w:val="Normal"/>
    <w:next w:val="BodyText"/>
    <w:semiHidden/>
    <w:qFormat/>
    <w:locked/>
    <w:rsid w:val="00313FB6"/>
    <w:pPr>
      <w:outlineLvl w:val="6"/>
    </w:pPr>
  </w:style>
  <w:style w:type="paragraph" w:styleId="Heading8">
    <w:name w:val="heading 8"/>
    <w:basedOn w:val="Normal"/>
    <w:next w:val="BodyText"/>
    <w:semiHidden/>
    <w:qFormat/>
    <w:locked/>
    <w:rsid w:val="00313FB6"/>
    <w:pPr>
      <w:outlineLvl w:val="7"/>
    </w:pPr>
  </w:style>
  <w:style w:type="paragraph" w:styleId="Heading9">
    <w:name w:val="heading 9"/>
    <w:basedOn w:val="Normal"/>
    <w:next w:val="BodyText"/>
    <w:semiHidden/>
    <w:locked/>
    <w:rsid w:val="00313FB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otation">
    <w:name w:val="Quotation"/>
    <w:basedOn w:val="BodyText"/>
    <w:unhideWhenUsed/>
    <w:locked/>
    <w:rsid w:val="001F0C30"/>
    <w:pPr>
      <w:ind w:left="851" w:right="851"/>
    </w:pPr>
    <w:rPr>
      <w:i/>
    </w:rPr>
  </w:style>
  <w:style w:type="paragraph" w:styleId="BodyText">
    <w:name w:val="Body Text"/>
    <w:basedOn w:val="Normal"/>
    <w:link w:val="BodyTextChar"/>
    <w:qFormat/>
    <w:locked/>
    <w:rsid w:val="00643138"/>
    <w:pPr>
      <w:spacing w:before="120" w:after="120"/>
      <w:jc w:val="both"/>
    </w:pPr>
    <w:rPr>
      <w:sz w:val="22"/>
      <w:szCs w:val="22"/>
    </w:rPr>
  </w:style>
  <w:style w:type="character" w:customStyle="1" w:styleId="BodyTextChar">
    <w:name w:val="Body Text Char"/>
    <w:basedOn w:val="DefaultParagraphFont"/>
    <w:link w:val="BodyText"/>
    <w:rsid w:val="00643138"/>
    <w:rPr>
      <w:rFonts w:asciiTheme="minorHAnsi" w:hAnsiTheme="minorHAnsi"/>
      <w:sz w:val="22"/>
      <w:szCs w:val="22"/>
      <w:lang w:eastAsia="en-GB"/>
    </w:rPr>
  </w:style>
  <w:style w:type="paragraph" w:customStyle="1" w:styleId="Introparatext">
    <w:name w:val="Intro para text"/>
    <w:basedOn w:val="BodyText"/>
    <w:next w:val="BodyText"/>
    <w:semiHidden/>
    <w:locked/>
    <w:rsid w:val="00F41174"/>
    <w:pPr>
      <w:spacing w:before="240" w:after="240" w:line="340" w:lineRule="atLeast"/>
      <w:jc w:val="left"/>
    </w:pPr>
    <w:rPr>
      <w:color w:val="808080"/>
      <w:sz w:val="20"/>
    </w:rPr>
  </w:style>
  <w:style w:type="paragraph" w:customStyle="1" w:styleId="TableSource">
    <w:name w:val="Table Source"/>
    <w:basedOn w:val="BodyText"/>
    <w:next w:val="BodyText"/>
    <w:qFormat/>
    <w:locked/>
    <w:rsid w:val="00F90AA7"/>
    <w:pPr>
      <w:spacing w:after="360" w:line="240" w:lineRule="atLeast"/>
      <w:jc w:val="left"/>
    </w:pPr>
    <w:rPr>
      <w:rFonts w:ascii="Tahoma" w:hAnsi="Tahoma" w:cs="Tahoma"/>
      <w:b/>
      <w:color w:val="00B0F0"/>
      <w:sz w:val="16"/>
      <w:szCs w:val="16"/>
    </w:rPr>
  </w:style>
  <w:style w:type="paragraph" w:styleId="Caption">
    <w:name w:val="caption"/>
    <w:basedOn w:val="Normal"/>
    <w:next w:val="Normal"/>
    <w:qFormat/>
    <w:locked/>
    <w:rsid w:val="00F90AA7"/>
    <w:pPr>
      <w:keepNext/>
      <w:spacing w:before="480" w:after="60" w:line="240" w:lineRule="atLeast"/>
    </w:pPr>
    <w:rPr>
      <w:rFonts w:ascii="Tahoma" w:hAnsi="Tahoma" w:cs="Tahoma"/>
      <w:b/>
      <w:bCs/>
      <w:color w:val="43B1FB"/>
      <w:sz w:val="22"/>
      <w:szCs w:val="18"/>
    </w:rPr>
  </w:style>
  <w:style w:type="numbering" w:customStyle="1" w:styleId="NZIERHeadinglist">
    <w:name w:val="NZIER Heading list"/>
    <w:basedOn w:val="NoList"/>
    <w:uiPriority w:val="99"/>
    <w:locked/>
    <w:rsid w:val="00C65C43"/>
    <w:pPr>
      <w:numPr>
        <w:numId w:val="1"/>
      </w:numPr>
    </w:pPr>
  </w:style>
  <w:style w:type="numbering" w:customStyle="1" w:styleId="NZIERBullet1List">
    <w:name w:val="NZIER Bullet 1 List"/>
    <w:basedOn w:val="NZIERHeadinglist"/>
    <w:uiPriority w:val="99"/>
    <w:locked/>
    <w:rsid w:val="00F41174"/>
    <w:pPr>
      <w:numPr>
        <w:numId w:val="2"/>
      </w:numPr>
    </w:pPr>
  </w:style>
  <w:style w:type="paragraph" w:customStyle="1" w:styleId="Bullet">
    <w:name w:val="Bullet"/>
    <w:basedOn w:val="BodyText"/>
    <w:qFormat/>
    <w:locked/>
    <w:rsid w:val="00F41174"/>
    <w:pPr>
      <w:numPr>
        <w:numId w:val="2"/>
      </w:numPr>
      <w:spacing w:before="60" w:after="60"/>
      <w:jc w:val="left"/>
    </w:pPr>
  </w:style>
  <w:style w:type="table" w:styleId="TableClassic1">
    <w:name w:val="Table Classic 1"/>
    <w:basedOn w:val="TableNormal"/>
    <w:locked/>
    <w:rsid w:val="004D7536"/>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NZIERAppendixlist">
    <w:name w:val="NZIER Appendix list"/>
    <w:basedOn w:val="NoList"/>
    <w:uiPriority w:val="99"/>
    <w:locked/>
    <w:rsid w:val="006E0815"/>
    <w:pPr>
      <w:numPr>
        <w:numId w:val="3"/>
      </w:numPr>
    </w:pPr>
  </w:style>
  <w:style w:type="character" w:styleId="PageNumber">
    <w:name w:val="page number"/>
    <w:basedOn w:val="DefaultParagraphFont"/>
    <w:locked/>
    <w:rsid w:val="006313E7"/>
    <w:rPr>
      <w:rFonts w:ascii="Tahoma" w:hAnsi="Tahoma"/>
    </w:rPr>
  </w:style>
  <w:style w:type="paragraph" w:customStyle="1" w:styleId="NonTOCHeading1">
    <w:name w:val="Non TOC Heading 1"/>
    <w:basedOn w:val="Normal"/>
    <w:next w:val="BodyText"/>
    <w:qFormat/>
    <w:locked/>
    <w:rsid w:val="00F9369D"/>
    <w:pPr>
      <w:keepNext/>
      <w:pageBreakBefore/>
      <w:spacing w:after="240" w:line="240" w:lineRule="auto"/>
    </w:pPr>
    <w:rPr>
      <w:rFonts w:ascii="Tahoma" w:hAnsi="Tahoma" w:cs="Tahoma"/>
      <w:color w:val="00B0F0"/>
      <w:sz w:val="44"/>
      <w:szCs w:val="44"/>
    </w:rPr>
  </w:style>
  <w:style w:type="paragraph" w:customStyle="1" w:styleId="NonTOCHeading2">
    <w:name w:val="Non TOC Heading 2"/>
    <w:basedOn w:val="Normal"/>
    <w:next w:val="BodyText"/>
    <w:qFormat/>
    <w:locked/>
    <w:rsid w:val="00F9369D"/>
    <w:pPr>
      <w:keepNext/>
      <w:spacing w:before="360" w:after="80" w:line="240" w:lineRule="auto"/>
    </w:pPr>
    <w:rPr>
      <w:rFonts w:ascii="Tahoma" w:hAnsi="Tahoma"/>
      <w:color w:val="00B0F0"/>
      <w:sz w:val="44"/>
      <w:szCs w:val="44"/>
    </w:rPr>
  </w:style>
  <w:style w:type="paragraph" w:styleId="TOC1">
    <w:name w:val="toc 1"/>
    <w:basedOn w:val="Normal"/>
    <w:next w:val="Normal"/>
    <w:autoRedefine/>
    <w:uiPriority w:val="39"/>
    <w:locked/>
    <w:rsid w:val="0015111F"/>
    <w:pPr>
      <w:tabs>
        <w:tab w:val="right" w:leader="dot" w:pos="7655"/>
      </w:tabs>
      <w:spacing w:after="100" w:line="240" w:lineRule="auto"/>
      <w:ind w:left="851" w:hanging="851"/>
    </w:pPr>
    <w:rPr>
      <w:rFonts w:eastAsiaTheme="minorHAnsi" w:cstheme="minorBidi"/>
      <w:sz w:val="22"/>
      <w:szCs w:val="22"/>
      <w:lang w:eastAsia="en-US"/>
    </w:rPr>
  </w:style>
  <w:style w:type="paragraph" w:styleId="TOC2">
    <w:name w:val="toc 2"/>
    <w:basedOn w:val="Normal"/>
    <w:next w:val="Normal"/>
    <w:uiPriority w:val="39"/>
    <w:locked/>
    <w:rsid w:val="007D5A2B"/>
    <w:pPr>
      <w:tabs>
        <w:tab w:val="left" w:pos="1276"/>
        <w:tab w:val="right" w:leader="dot" w:pos="6804"/>
      </w:tabs>
      <w:spacing w:after="100" w:line="240" w:lineRule="auto"/>
      <w:ind w:left="1276" w:right="567" w:hanging="851"/>
    </w:pPr>
    <w:rPr>
      <w:rFonts w:eastAsiaTheme="minorEastAsia" w:cstheme="minorBidi"/>
      <w:noProof/>
      <w:sz w:val="22"/>
      <w:szCs w:val="22"/>
      <w:lang w:eastAsia="en-NZ"/>
    </w:rPr>
  </w:style>
  <w:style w:type="paragraph" w:styleId="TOC3">
    <w:name w:val="toc 3"/>
    <w:basedOn w:val="Normal"/>
    <w:next w:val="Normal"/>
    <w:autoRedefine/>
    <w:uiPriority w:val="39"/>
    <w:semiHidden/>
    <w:locked/>
    <w:rsid w:val="00541976"/>
    <w:pPr>
      <w:tabs>
        <w:tab w:val="left" w:pos="2268"/>
        <w:tab w:val="right" w:leader="dot" w:pos="6804"/>
      </w:tabs>
      <w:spacing w:before="100" w:line="240" w:lineRule="auto"/>
      <w:ind w:left="1701" w:right="567" w:hanging="567"/>
    </w:pPr>
  </w:style>
  <w:style w:type="paragraph" w:styleId="TOC4">
    <w:name w:val="toc 4"/>
    <w:basedOn w:val="Normal"/>
    <w:next w:val="Normal"/>
    <w:autoRedefine/>
    <w:uiPriority w:val="39"/>
    <w:semiHidden/>
    <w:locked/>
    <w:rsid w:val="00541976"/>
    <w:pPr>
      <w:tabs>
        <w:tab w:val="left" w:pos="2447"/>
        <w:tab w:val="right" w:leader="dot" w:pos="6804"/>
      </w:tabs>
      <w:spacing w:before="100" w:line="240" w:lineRule="auto"/>
      <w:ind w:left="1985" w:right="567" w:hanging="284"/>
    </w:pPr>
  </w:style>
  <w:style w:type="character" w:styleId="Hyperlink">
    <w:name w:val="Hyperlink"/>
    <w:basedOn w:val="DefaultParagraphFont"/>
    <w:uiPriority w:val="99"/>
    <w:unhideWhenUsed/>
    <w:locked/>
    <w:rsid w:val="00E10D08"/>
    <w:rPr>
      <w:color w:val="0000FF" w:themeColor="hyperlink"/>
      <w:u w:val="single"/>
    </w:rPr>
  </w:style>
  <w:style w:type="paragraph" w:customStyle="1" w:styleId="Numberedparagraphs">
    <w:name w:val="Numbered paragraphs"/>
    <w:basedOn w:val="BodyText"/>
    <w:next w:val="Normal"/>
    <w:qFormat/>
    <w:locked/>
    <w:rsid w:val="005E566A"/>
    <w:pPr>
      <w:numPr>
        <w:numId w:val="4"/>
      </w:numPr>
      <w:tabs>
        <w:tab w:val="clear" w:pos="1571"/>
        <w:tab w:val="num" w:pos="851"/>
      </w:tabs>
      <w:spacing w:after="240" w:line="240" w:lineRule="auto"/>
      <w:ind w:left="851" w:hanging="425"/>
      <w:contextualSpacing/>
    </w:pPr>
    <w:rPr>
      <w:rFonts w:ascii="Calibri" w:hAnsi="Calibri"/>
    </w:rPr>
  </w:style>
  <w:style w:type="numbering" w:customStyle="1" w:styleId="NZIERNumberedparagraphsList">
    <w:name w:val="NZIER Numbered paragraphs List"/>
    <w:basedOn w:val="NoList"/>
    <w:uiPriority w:val="99"/>
    <w:locked/>
    <w:rsid w:val="00F719DE"/>
    <w:pPr>
      <w:numPr>
        <w:numId w:val="4"/>
      </w:numPr>
    </w:pPr>
  </w:style>
  <w:style w:type="paragraph" w:customStyle="1" w:styleId="zInstructions">
    <w:name w:val="z_Instructions"/>
    <w:basedOn w:val="BodyText"/>
    <w:semiHidden/>
    <w:locked/>
    <w:rsid w:val="0070085C"/>
    <w:pPr>
      <w:shd w:val="clear" w:color="auto" w:fill="666699"/>
    </w:pPr>
    <w:rPr>
      <w:color w:val="FFFFFF" w:themeColor="background1"/>
    </w:rPr>
  </w:style>
  <w:style w:type="paragraph" w:customStyle="1" w:styleId="zInstructionsbullet">
    <w:name w:val="z_Instructions bullet"/>
    <w:basedOn w:val="zInstructions"/>
    <w:semiHidden/>
    <w:locked/>
    <w:rsid w:val="009C51DA"/>
    <w:pPr>
      <w:numPr>
        <w:numId w:val="5"/>
      </w:numPr>
    </w:pPr>
  </w:style>
  <w:style w:type="numbering" w:customStyle="1" w:styleId="NZIERInstructionsbullet">
    <w:name w:val="NZIER Instructions bullet"/>
    <w:basedOn w:val="NoList"/>
    <w:uiPriority w:val="99"/>
    <w:locked/>
    <w:rsid w:val="009C51DA"/>
    <w:pPr>
      <w:numPr>
        <w:numId w:val="5"/>
      </w:numPr>
    </w:pPr>
  </w:style>
  <w:style w:type="paragraph" w:styleId="Header">
    <w:name w:val="header"/>
    <w:basedOn w:val="Normal"/>
    <w:link w:val="HeaderChar"/>
    <w:semiHidden/>
    <w:locked/>
    <w:rsid w:val="00B22664"/>
    <w:pPr>
      <w:tabs>
        <w:tab w:val="center" w:pos="4513"/>
        <w:tab w:val="right" w:pos="9026"/>
      </w:tabs>
      <w:spacing w:line="240" w:lineRule="auto"/>
    </w:pPr>
  </w:style>
  <w:style w:type="character" w:customStyle="1" w:styleId="HeaderChar">
    <w:name w:val="Header Char"/>
    <w:basedOn w:val="DefaultParagraphFont"/>
    <w:link w:val="Header"/>
    <w:semiHidden/>
    <w:rsid w:val="000934B3"/>
    <w:rPr>
      <w:rFonts w:ascii="Tahoma" w:hAnsi="Tahoma"/>
      <w:sz w:val="17"/>
      <w:lang w:eastAsia="en-GB"/>
    </w:rPr>
  </w:style>
  <w:style w:type="paragraph" w:styleId="Footer">
    <w:name w:val="footer"/>
    <w:basedOn w:val="Normal"/>
    <w:link w:val="FooterChar"/>
    <w:semiHidden/>
    <w:locked/>
    <w:rsid w:val="00315887"/>
    <w:pPr>
      <w:pBdr>
        <w:top w:val="single" w:sz="6" w:space="3" w:color="666680"/>
      </w:pBdr>
      <w:tabs>
        <w:tab w:val="right" w:pos="6804"/>
      </w:tabs>
      <w:spacing w:line="240" w:lineRule="auto"/>
    </w:pPr>
  </w:style>
  <w:style w:type="character" w:customStyle="1" w:styleId="FooterChar">
    <w:name w:val="Footer Char"/>
    <w:basedOn w:val="DefaultParagraphFont"/>
    <w:link w:val="Footer"/>
    <w:semiHidden/>
    <w:rsid w:val="000934B3"/>
    <w:rPr>
      <w:rFonts w:ascii="Tahoma" w:hAnsi="Tahoma"/>
      <w:sz w:val="17"/>
      <w:lang w:eastAsia="en-GB"/>
    </w:rPr>
  </w:style>
  <w:style w:type="paragraph" w:styleId="TOCHeading">
    <w:name w:val="TOC Heading"/>
    <w:basedOn w:val="Heading1"/>
    <w:next w:val="Normal"/>
    <w:uiPriority w:val="39"/>
    <w:semiHidden/>
    <w:locked/>
    <w:rsid w:val="00325C43"/>
    <w:pPr>
      <w:keepLines/>
      <w:pageBreakBefore w:val="0"/>
      <w:spacing w:before="480" w:after="0" w:line="276" w:lineRule="auto"/>
      <w:outlineLvl w:val="9"/>
    </w:pPr>
    <w:rPr>
      <w:rFonts w:asciiTheme="majorHAnsi" w:eastAsiaTheme="majorEastAsia" w:hAnsiTheme="majorHAnsi" w:cstheme="majorBidi"/>
      <w:b/>
      <w:bCs/>
      <w:color w:val="365F91" w:themeColor="accent1" w:themeShade="BF"/>
      <w:sz w:val="28"/>
      <w:szCs w:val="28"/>
      <w:lang w:val="en-US" w:eastAsia="en-US"/>
    </w:rPr>
  </w:style>
  <w:style w:type="paragraph" w:styleId="BalloonText">
    <w:name w:val="Balloon Text"/>
    <w:basedOn w:val="Normal"/>
    <w:link w:val="BalloonTextChar"/>
    <w:semiHidden/>
    <w:locked/>
    <w:rsid w:val="00325C43"/>
    <w:pPr>
      <w:spacing w:line="240" w:lineRule="auto"/>
    </w:pPr>
    <w:rPr>
      <w:rFonts w:cs="Tahoma"/>
      <w:sz w:val="16"/>
      <w:szCs w:val="16"/>
    </w:rPr>
  </w:style>
  <w:style w:type="character" w:customStyle="1" w:styleId="BalloonTextChar">
    <w:name w:val="Balloon Text Char"/>
    <w:basedOn w:val="DefaultParagraphFont"/>
    <w:link w:val="BalloonText"/>
    <w:semiHidden/>
    <w:rsid w:val="00325C43"/>
    <w:rPr>
      <w:rFonts w:ascii="Tahoma" w:hAnsi="Tahoma" w:cs="Tahoma"/>
      <w:sz w:val="16"/>
      <w:szCs w:val="16"/>
      <w:lang w:eastAsia="en-GB"/>
    </w:rPr>
  </w:style>
  <w:style w:type="paragraph" w:styleId="Title">
    <w:name w:val="Title"/>
    <w:basedOn w:val="Normal"/>
    <w:next w:val="Normal"/>
    <w:link w:val="TitleChar"/>
    <w:semiHidden/>
    <w:locked/>
    <w:rsid w:val="00AC5E28"/>
    <w:pPr>
      <w:keepNext/>
      <w:spacing w:before="1134" w:after="240" w:line="240" w:lineRule="auto"/>
    </w:pPr>
    <w:rPr>
      <w:rFonts w:ascii="Myriad Pro" w:hAnsi="Myriad Pro"/>
      <w:sz w:val="52"/>
    </w:rPr>
  </w:style>
  <w:style w:type="character" w:customStyle="1" w:styleId="TitleChar">
    <w:name w:val="Title Char"/>
    <w:basedOn w:val="DefaultParagraphFont"/>
    <w:link w:val="Title"/>
    <w:semiHidden/>
    <w:rsid w:val="000934B3"/>
    <w:rPr>
      <w:rFonts w:ascii="Myriad Pro" w:hAnsi="Myriad Pro"/>
      <w:sz w:val="52"/>
      <w:lang w:eastAsia="en-GB"/>
    </w:rPr>
  </w:style>
  <w:style w:type="paragraph" w:customStyle="1" w:styleId="zReporttitle">
    <w:name w:val="z_Report title"/>
    <w:basedOn w:val="Title"/>
    <w:semiHidden/>
    <w:locked/>
    <w:rsid w:val="00572941"/>
  </w:style>
  <w:style w:type="paragraph" w:customStyle="1" w:styleId="zReportsubtitle">
    <w:name w:val="z_Report sub title"/>
    <w:basedOn w:val="Normal"/>
    <w:semiHidden/>
    <w:locked/>
    <w:rsid w:val="00AC5E28"/>
    <w:pPr>
      <w:spacing w:before="360" w:after="240" w:line="240" w:lineRule="auto"/>
    </w:pPr>
    <w:rPr>
      <w:rFonts w:ascii="Myriad Pro" w:hAnsi="Myriad Pro"/>
      <w:sz w:val="32"/>
    </w:rPr>
  </w:style>
  <w:style w:type="paragraph" w:customStyle="1" w:styleId="zReportdate">
    <w:name w:val="z_Report date"/>
    <w:basedOn w:val="Normal"/>
    <w:semiHidden/>
    <w:locked/>
    <w:rsid w:val="00AC5E28"/>
    <w:pPr>
      <w:spacing w:after="120"/>
    </w:pPr>
    <w:rPr>
      <w:rFonts w:ascii="Myriad Pro" w:hAnsi="Myriad Pro"/>
      <w:color w:val="808080"/>
      <w:sz w:val="24"/>
    </w:rPr>
  </w:style>
  <w:style w:type="paragraph" w:customStyle="1" w:styleId="zDocumenttype">
    <w:name w:val="z_Document type"/>
    <w:basedOn w:val="Normal"/>
    <w:semiHidden/>
    <w:locked/>
    <w:rsid w:val="009E4B0B"/>
    <w:pPr>
      <w:spacing w:before="420"/>
      <w:jc w:val="right"/>
    </w:pPr>
    <w:rPr>
      <w:color w:val="FFFFFF" w:themeColor="background1"/>
    </w:rPr>
  </w:style>
  <w:style w:type="paragraph" w:customStyle="1" w:styleId="Tabletext">
    <w:name w:val="Table text"/>
    <w:basedOn w:val="BodyText"/>
    <w:qFormat/>
    <w:locked/>
    <w:rsid w:val="00F90AA7"/>
    <w:pPr>
      <w:spacing w:before="60" w:after="60" w:line="200" w:lineRule="atLeast"/>
      <w:jc w:val="left"/>
    </w:pPr>
    <w:rPr>
      <w:kern w:val="20"/>
      <w:sz w:val="18"/>
      <w:szCs w:val="18"/>
      <w:lang w:eastAsia="en-US"/>
    </w:rPr>
  </w:style>
  <w:style w:type="paragraph" w:customStyle="1" w:styleId="zWebpage">
    <w:name w:val="z_Web page"/>
    <w:basedOn w:val="BodyText"/>
    <w:semiHidden/>
    <w:locked/>
    <w:rsid w:val="00315887"/>
    <w:pPr>
      <w:spacing w:after="0"/>
    </w:pPr>
    <w:rPr>
      <w:rFonts w:ascii="Myriad Pro" w:hAnsi="Myriad Pro"/>
      <w:b/>
      <w:sz w:val="36"/>
      <w:szCs w:val="36"/>
    </w:rPr>
  </w:style>
  <w:style w:type="paragraph" w:customStyle="1" w:styleId="zAddressdetails">
    <w:name w:val="z_Address details"/>
    <w:basedOn w:val="Normal"/>
    <w:semiHidden/>
    <w:locked/>
    <w:rsid w:val="00315887"/>
    <w:pPr>
      <w:spacing w:after="120" w:line="200" w:lineRule="atLeast"/>
    </w:pPr>
    <w:rPr>
      <w:sz w:val="14"/>
      <w:szCs w:val="14"/>
    </w:rPr>
  </w:style>
  <w:style w:type="paragraph" w:customStyle="1" w:styleId="NonTOCHeading3">
    <w:name w:val="Non TOC Heading 3"/>
    <w:basedOn w:val="Normal"/>
    <w:next w:val="Normal"/>
    <w:qFormat/>
    <w:locked/>
    <w:rsid w:val="00F9369D"/>
    <w:pPr>
      <w:spacing w:before="240" w:after="120" w:line="240" w:lineRule="auto"/>
    </w:pPr>
    <w:rPr>
      <w:rFonts w:ascii="Tahoma" w:hAnsi="Tahoma" w:cs="Tahoma"/>
      <w:color w:val="00B0F0"/>
      <w:sz w:val="22"/>
      <w:szCs w:val="22"/>
    </w:rPr>
  </w:style>
  <w:style w:type="paragraph" w:customStyle="1" w:styleId="zFooterEvenLandscape">
    <w:name w:val="z_Footer Even Landscape"/>
    <w:basedOn w:val="zFooterOddLandscape"/>
    <w:semiHidden/>
    <w:locked/>
    <w:rsid w:val="00C13B05"/>
  </w:style>
  <w:style w:type="paragraph" w:customStyle="1" w:styleId="zFooterEvenPortrait">
    <w:name w:val="z_Footer Even Portrait"/>
    <w:basedOn w:val="zFooterOddPortrait"/>
    <w:semiHidden/>
    <w:locked/>
    <w:rsid w:val="00353D2D"/>
    <w:rPr>
      <w:noProof/>
    </w:rPr>
  </w:style>
  <w:style w:type="paragraph" w:customStyle="1" w:styleId="zFooterOddLandscape">
    <w:name w:val="z_Footer Odd Landscape"/>
    <w:basedOn w:val="zFooterOddPortrait"/>
    <w:semiHidden/>
    <w:locked/>
    <w:rsid w:val="00C13B05"/>
    <w:pPr>
      <w:tabs>
        <w:tab w:val="clear" w:pos="6804"/>
        <w:tab w:val="right" w:pos="14600"/>
      </w:tabs>
    </w:pPr>
  </w:style>
  <w:style w:type="paragraph" w:customStyle="1" w:styleId="zFooterOddPortrait">
    <w:name w:val="z_Footer Odd Portrait"/>
    <w:basedOn w:val="Footer"/>
    <w:semiHidden/>
    <w:locked/>
    <w:rsid w:val="005F2E65"/>
  </w:style>
  <w:style w:type="table" w:styleId="TableGrid">
    <w:name w:val="Table Grid"/>
    <w:basedOn w:val="TableNormal"/>
    <w:locked/>
    <w:rsid w:val="00656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locked/>
    <w:rsid w:val="006E0815"/>
    <w:pPr>
      <w:tabs>
        <w:tab w:val="left" w:pos="284"/>
      </w:tabs>
      <w:spacing w:after="60" w:line="160" w:lineRule="atLeast"/>
      <w:ind w:left="568" w:hanging="284"/>
    </w:pPr>
    <w:rPr>
      <w:sz w:val="14"/>
    </w:rPr>
  </w:style>
  <w:style w:type="character" w:customStyle="1" w:styleId="FootnoteTextChar">
    <w:name w:val="Footnote Text Char"/>
    <w:basedOn w:val="DefaultParagraphFont"/>
    <w:link w:val="FootnoteText"/>
    <w:rsid w:val="00F05DCD"/>
    <w:rPr>
      <w:rFonts w:asciiTheme="minorHAnsi" w:hAnsiTheme="minorHAnsi"/>
      <w:sz w:val="14"/>
      <w:lang w:eastAsia="en-GB"/>
    </w:rPr>
  </w:style>
  <w:style w:type="character" w:styleId="FootnoteReference">
    <w:name w:val="footnote reference"/>
    <w:basedOn w:val="DefaultParagraphFont"/>
    <w:unhideWhenUsed/>
    <w:locked/>
    <w:rsid w:val="00824579"/>
    <w:rPr>
      <w:rFonts w:ascii="Tahoma" w:hAnsi="Tahoma"/>
      <w:sz w:val="16"/>
      <w:vertAlign w:val="superscript"/>
    </w:rPr>
  </w:style>
  <w:style w:type="paragraph" w:customStyle="1" w:styleId="Bullet2ndlevel">
    <w:name w:val="Bullet 2nd level"/>
    <w:basedOn w:val="Bullet"/>
    <w:unhideWhenUsed/>
    <w:locked/>
    <w:rsid w:val="00C16EA5"/>
    <w:pPr>
      <w:numPr>
        <w:ilvl w:val="1"/>
      </w:numPr>
    </w:pPr>
  </w:style>
  <w:style w:type="paragraph" w:customStyle="1" w:styleId="Bullet3rdlevel">
    <w:name w:val="Bullet 3rd level"/>
    <w:basedOn w:val="Bullet"/>
    <w:unhideWhenUsed/>
    <w:locked/>
    <w:rsid w:val="00C16EA5"/>
    <w:pPr>
      <w:numPr>
        <w:ilvl w:val="2"/>
      </w:numPr>
    </w:pPr>
  </w:style>
  <w:style w:type="paragraph" w:customStyle="1" w:styleId="Tablesubheading">
    <w:name w:val="Table subheading"/>
    <w:basedOn w:val="BodyText"/>
    <w:rsid w:val="00F90AA7"/>
    <w:pPr>
      <w:keepNext/>
      <w:spacing w:before="0" w:line="240" w:lineRule="auto"/>
    </w:pPr>
    <w:rPr>
      <w:rFonts w:ascii="Tahoma" w:hAnsi="Tahoma"/>
      <w:sz w:val="17"/>
    </w:rPr>
  </w:style>
  <w:style w:type="paragraph" w:styleId="ListParagraph">
    <w:name w:val="List Paragraph"/>
    <w:basedOn w:val="Normal"/>
    <w:uiPriority w:val="34"/>
    <w:qFormat/>
    <w:locked/>
    <w:rsid w:val="00DA49CC"/>
    <w:pPr>
      <w:ind w:left="720"/>
      <w:contextualSpacing/>
    </w:pPr>
  </w:style>
  <w:style w:type="paragraph" w:customStyle="1" w:styleId="NZIERTitle">
    <w:name w:val="NZIER Title"/>
    <w:next w:val="Normal"/>
    <w:qFormat/>
    <w:rsid w:val="00220B88"/>
    <w:pPr>
      <w:spacing w:before="1134" w:after="120"/>
    </w:pPr>
    <w:rPr>
      <w:rFonts w:ascii="Tahoma" w:hAnsi="Tahoma" w:cs="Tahoma"/>
      <w:color w:val="00B0F0"/>
      <w:sz w:val="56"/>
      <w:szCs w:val="56"/>
      <w:lang w:eastAsia="en-GB"/>
    </w:rPr>
  </w:style>
  <w:style w:type="paragraph" w:customStyle="1" w:styleId="NZIERSubtitle">
    <w:name w:val="NZIER Subtitle"/>
    <w:next w:val="Normal"/>
    <w:qFormat/>
    <w:rsid w:val="00220B88"/>
    <w:pPr>
      <w:spacing w:before="120" w:after="480"/>
    </w:pPr>
    <w:rPr>
      <w:rFonts w:ascii="Tahoma" w:hAnsi="Tahoma"/>
      <w:sz w:val="32"/>
      <w:lang w:eastAsia="en-GB"/>
    </w:rPr>
  </w:style>
  <w:style w:type="paragraph" w:customStyle="1" w:styleId="Tableheading">
    <w:name w:val="Table heading"/>
    <w:basedOn w:val="Normal"/>
    <w:next w:val="Tabletext"/>
    <w:qFormat/>
    <w:rsid w:val="005E566A"/>
    <w:pPr>
      <w:keepNext/>
      <w:spacing w:before="120" w:after="120"/>
    </w:pPr>
    <w:rPr>
      <w:rFonts w:ascii="Tahoma" w:hAnsi="Tahoma"/>
      <w:b/>
      <w:color w:val="FFFFFF" w:themeColor="background1"/>
      <w:sz w:val="17"/>
    </w:rPr>
  </w:style>
  <w:style w:type="paragraph" w:customStyle="1" w:styleId="NonTOCHeading24pt">
    <w:name w:val="Non TOC Heading 24pt"/>
    <w:basedOn w:val="NonTOCHeading1"/>
    <w:qFormat/>
    <w:rsid w:val="00F9369D"/>
    <w:rPr>
      <w:sz w:val="48"/>
    </w:rPr>
  </w:style>
  <w:style w:type="table" w:customStyle="1" w:styleId="NZIERTable">
    <w:name w:val="NZIER Table"/>
    <w:basedOn w:val="TableNormal"/>
    <w:uiPriority w:val="99"/>
    <w:rsid w:val="004D7536"/>
    <w:pPr>
      <w:spacing w:before="60" w:after="60"/>
    </w:pPr>
    <w:rPr>
      <w:rFonts w:ascii="Calibri" w:hAnsi="Calibri"/>
      <w:sz w:val="18"/>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rFonts w:ascii="Calibri" w:hAnsi="Calibri"/>
        <w:color w:val="FFFFFF" w:themeColor="background1"/>
        <w:sz w:val="18"/>
      </w:rPr>
      <w:tblPr/>
      <w:tcPr>
        <w:shd w:val="clear" w:color="auto" w:fill="00B0F0"/>
      </w:tcPr>
    </w:tblStylePr>
  </w:style>
  <w:style w:type="paragraph" w:customStyle="1" w:styleId="Appendixheading1">
    <w:name w:val="Appendix heading 1"/>
    <w:basedOn w:val="Normal"/>
    <w:next w:val="BodyText"/>
    <w:qFormat/>
    <w:locked/>
    <w:rsid w:val="00C000D7"/>
    <w:pPr>
      <w:keepNext/>
      <w:pageBreakBefore/>
      <w:numPr>
        <w:numId w:val="6"/>
      </w:numPr>
      <w:spacing w:before="240" w:after="120" w:line="240" w:lineRule="auto"/>
      <w:outlineLvl w:val="0"/>
    </w:pPr>
    <w:rPr>
      <w:rFonts w:ascii="Tahoma" w:hAnsi="Tahoma"/>
      <w:color w:val="00B0F0"/>
      <w:sz w:val="56"/>
    </w:rPr>
  </w:style>
  <w:style w:type="paragraph" w:customStyle="1" w:styleId="Appendixheading2">
    <w:name w:val="Appendix heading 2"/>
    <w:basedOn w:val="Normal"/>
    <w:next w:val="BodyText"/>
    <w:qFormat/>
    <w:locked/>
    <w:rsid w:val="00C000D7"/>
    <w:pPr>
      <w:keepNext/>
      <w:numPr>
        <w:ilvl w:val="1"/>
        <w:numId w:val="6"/>
      </w:numPr>
      <w:spacing w:before="360" w:after="80" w:line="240" w:lineRule="auto"/>
    </w:pPr>
    <w:rPr>
      <w:rFonts w:ascii="Tahoma" w:hAnsi="Tahoma"/>
      <w:color w:val="00B0F0"/>
      <w:sz w:val="28"/>
    </w:rPr>
  </w:style>
  <w:style w:type="paragraph" w:customStyle="1" w:styleId="Appendixheading3">
    <w:name w:val="Appendix heading 3"/>
    <w:basedOn w:val="Normal"/>
    <w:next w:val="BodyText"/>
    <w:qFormat/>
    <w:locked/>
    <w:rsid w:val="00C000D7"/>
    <w:pPr>
      <w:numPr>
        <w:ilvl w:val="2"/>
        <w:numId w:val="6"/>
      </w:numPr>
      <w:spacing w:before="240" w:after="120" w:line="240" w:lineRule="auto"/>
    </w:pPr>
    <w:rPr>
      <w:rFonts w:ascii="Tahoma" w:hAnsi="Tahoma"/>
      <w:color w:val="00B0F0"/>
      <w:sz w:val="24"/>
    </w:rPr>
  </w:style>
  <w:style w:type="paragraph" w:customStyle="1" w:styleId="UnnumberedHeading1">
    <w:name w:val="Unnumbered Heading 1"/>
    <w:basedOn w:val="Normal"/>
    <w:next w:val="BodyText"/>
    <w:qFormat/>
    <w:locked/>
    <w:rsid w:val="005B08BF"/>
    <w:pPr>
      <w:keepNext/>
      <w:pageBreakBefore/>
      <w:spacing w:after="120" w:line="240" w:lineRule="auto"/>
    </w:pPr>
    <w:rPr>
      <w:rFonts w:ascii="Tahoma" w:hAnsi="Tahoma"/>
      <w:color w:val="00B0F0"/>
      <w:sz w:val="56"/>
    </w:rPr>
  </w:style>
  <w:style w:type="paragraph" w:customStyle="1" w:styleId="UnnumberedHeading2">
    <w:name w:val="Unnumbered Heading 2"/>
    <w:basedOn w:val="Normal"/>
    <w:next w:val="BodyText"/>
    <w:qFormat/>
    <w:locked/>
    <w:rsid w:val="00741954"/>
    <w:pPr>
      <w:keepNext/>
      <w:spacing w:before="360" w:after="80" w:line="240" w:lineRule="auto"/>
    </w:pPr>
    <w:rPr>
      <w:rFonts w:ascii="Tahoma" w:hAnsi="Tahoma"/>
      <w:color w:val="00B0F0"/>
      <w:sz w:val="28"/>
    </w:rPr>
  </w:style>
  <w:style w:type="paragraph" w:customStyle="1" w:styleId="UnnumberedHeading3">
    <w:name w:val="Unnumbered Heading 3"/>
    <w:basedOn w:val="Normal"/>
    <w:next w:val="BodyText"/>
    <w:qFormat/>
    <w:locked/>
    <w:rsid w:val="00741954"/>
    <w:pPr>
      <w:keepNext/>
      <w:spacing w:before="240" w:after="120" w:line="240" w:lineRule="auto"/>
    </w:pPr>
    <w:rPr>
      <w:rFonts w:ascii="Tahoma" w:hAnsi="Tahoma"/>
      <w:color w:val="00B0F0"/>
      <w:sz w:val="24"/>
    </w:rPr>
  </w:style>
  <w:style w:type="paragraph" w:customStyle="1" w:styleId="UnnumberedHeading4">
    <w:name w:val="Unnumbered Heading 4"/>
    <w:basedOn w:val="Normal"/>
    <w:next w:val="BodyText"/>
    <w:qFormat/>
    <w:locked/>
    <w:rsid w:val="00741954"/>
    <w:pPr>
      <w:keepNext/>
      <w:spacing w:before="240" w:after="120" w:line="240" w:lineRule="auto"/>
    </w:pPr>
    <w:rPr>
      <w:rFonts w:ascii="Tahoma" w:hAnsi="Tahoma"/>
      <w:color w:val="00B0F0"/>
      <w:sz w:val="22"/>
    </w:rPr>
  </w:style>
  <w:style w:type="paragraph" w:styleId="TableofFigures">
    <w:name w:val="table of figures"/>
    <w:basedOn w:val="Normal"/>
    <w:next w:val="Normal"/>
    <w:uiPriority w:val="99"/>
    <w:locked/>
    <w:rsid w:val="00C94CAF"/>
  </w:style>
  <w:style w:type="paragraph" w:customStyle="1" w:styleId="Default">
    <w:name w:val="Default"/>
    <w:rsid w:val="00823E1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hyperlink" Target="mailto:econ@nzier.org.n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econ@nzier.org.nz"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mailto:econ@nzier.org.nz"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8.Library\Templates\NZIER%20REPORT%20TEMPLATES\1%20REPORT%20nzier-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AD870-50B9-4A53-A979-94AF3AD0F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REPORT nzier-template</Template>
  <TotalTime>246</TotalTime>
  <Pages>17</Pages>
  <Words>4019</Words>
  <Characters>23795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NZIER</Company>
  <LinksUpToDate>false</LinksUpToDate>
  <CharactersWithSpaces>27759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Hensen</dc:creator>
  <dc:description>Revised 11 December 2012</dc:description>
  <cp:lastModifiedBy>Mike Hensen</cp:lastModifiedBy>
  <cp:revision>15</cp:revision>
  <cp:lastPrinted>2002-04-12T07:33:00Z</cp:lastPrinted>
  <dcterms:created xsi:type="dcterms:W3CDTF">2014-08-26T02:21:00Z</dcterms:created>
  <dcterms:modified xsi:type="dcterms:W3CDTF">2014-09-01T01:40:00Z</dcterms:modified>
</cp:coreProperties>
</file>