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5E6" w:rsidRDefault="008045E6">
      <w:bookmarkStart w:id="0" w:name="_GoBack"/>
      <w:bookmarkEnd w:id="0"/>
    </w:p>
    <w:p w:rsidR="000B3F96" w:rsidRDefault="000B3F96"/>
    <w:p w:rsidR="000B3F96" w:rsidRDefault="000B3F96"/>
    <w:p w:rsidR="000B3F96" w:rsidRDefault="000B3F96"/>
    <w:p w:rsidR="000B3F96" w:rsidRDefault="000B3F96"/>
    <w:tbl>
      <w:tblPr>
        <w:tblStyle w:val="TableGrid"/>
        <w:tblW w:w="0" w:type="auto"/>
        <w:tblInd w:w="846" w:type="dxa"/>
        <w:tblLook w:val="04A0" w:firstRow="1" w:lastRow="0" w:firstColumn="1" w:lastColumn="0" w:noHBand="0" w:noVBand="1"/>
      </w:tblPr>
      <w:tblGrid>
        <w:gridCol w:w="8170"/>
      </w:tblGrid>
      <w:tr w:rsidR="000B3F96" w:rsidRPr="000B3F96" w:rsidTr="0003424B">
        <w:trPr>
          <w:trHeight w:val="3199"/>
        </w:trPr>
        <w:tc>
          <w:tcPr>
            <w:tcW w:w="8170" w:type="dxa"/>
          </w:tcPr>
          <w:p w:rsidR="000B3F96" w:rsidRDefault="000B3F96">
            <w:pPr>
              <w:rPr>
                <w:b/>
              </w:rPr>
            </w:pPr>
          </w:p>
          <w:p w:rsidR="000B3F96" w:rsidRDefault="000B3F96" w:rsidP="000B3F96">
            <w:pPr>
              <w:jc w:val="center"/>
              <w:rPr>
                <w:rFonts w:ascii="Arial" w:hAnsi="Arial" w:cs="Arial"/>
                <w:b/>
                <w:sz w:val="32"/>
                <w:szCs w:val="32"/>
              </w:rPr>
            </w:pPr>
          </w:p>
          <w:p w:rsidR="000B3F96" w:rsidRPr="000B3F96" w:rsidRDefault="000B3F96" w:rsidP="000B3F96">
            <w:pPr>
              <w:jc w:val="center"/>
              <w:rPr>
                <w:rFonts w:ascii="Arial" w:hAnsi="Arial" w:cs="Arial"/>
                <w:b/>
                <w:sz w:val="32"/>
                <w:szCs w:val="32"/>
              </w:rPr>
            </w:pPr>
            <w:r w:rsidRPr="000B3F96">
              <w:rPr>
                <w:rFonts w:ascii="Arial" w:hAnsi="Arial" w:cs="Arial"/>
                <w:b/>
                <w:sz w:val="32"/>
                <w:szCs w:val="32"/>
              </w:rPr>
              <w:t xml:space="preserve">REPORT TO </w:t>
            </w:r>
            <w:r>
              <w:rPr>
                <w:rFonts w:ascii="Arial" w:hAnsi="Arial" w:cs="Arial"/>
                <w:b/>
                <w:sz w:val="32"/>
                <w:szCs w:val="32"/>
              </w:rPr>
              <w:t xml:space="preserve">THE </w:t>
            </w:r>
            <w:r w:rsidRPr="000B3F96">
              <w:rPr>
                <w:rFonts w:ascii="Arial" w:hAnsi="Arial" w:cs="Arial"/>
                <w:b/>
                <w:sz w:val="32"/>
                <w:szCs w:val="32"/>
              </w:rPr>
              <w:t>LOCAL GOVERNMENT COMMISSION ON POTENTIAL SAVINGS ON A RANGE OF OPTIONS FOR RE-ORGANISATION OF LOCAL GOVERNMENT IN THE WELLINGTON REGION</w:t>
            </w:r>
          </w:p>
        </w:tc>
      </w:tr>
    </w:tbl>
    <w:p w:rsidR="000B3F96" w:rsidRDefault="000B3F96">
      <w:pPr>
        <w:rPr>
          <w:b/>
        </w:rPr>
      </w:pPr>
    </w:p>
    <w:p w:rsidR="000B3F96" w:rsidRDefault="000B3F96">
      <w:pPr>
        <w:rPr>
          <w:b/>
        </w:rPr>
      </w:pPr>
    </w:p>
    <w:p w:rsidR="000B3F96" w:rsidRDefault="000B3F96">
      <w:pPr>
        <w:rPr>
          <w:b/>
        </w:rPr>
      </w:pPr>
    </w:p>
    <w:p w:rsidR="000B3F96" w:rsidRDefault="000B3F96">
      <w:pPr>
        <w:rPr>
          <w:b/>
        </w:rPr>
      </w:pPr>
    </w:p>
    <w:p w:rsidR="000B3F96" w:rsidRDefault="000B3F96">
      <w:pPr>
        <w:rPr>
          <w:b/>
        </w:rPr>
      </w:pPr>
    </w:p>
    <w:p w:rsidR="000B3F96" w:rsidRDefault="000B3F96">
      <w:pPr>
        <w:rPr>
          <w:b/>
        </w:rPr>
      </w:pPr>
    </w:p>
    <w:p w:rsidR="000B3F96" w:rsidRDefault="000B3F96">
      <w:pPr>
        <w:rPr>
          <w:b/>
        </w:rPr>
      </w:pPr>
    </w:p>
    <w:p w:rsidR="000B3F96" w:rsidRDefault="000B3F96">
      <w:pPr>
        <w:rPr>
          <w:b/>
        </w:rPr>
      </w:pPr>
    </w:p>
    <w:p w:rsidR="000B3F96" w:rsidRDefault="000B3F96">
      <w:pPr>
        <w:rPr>
          <w:b/>
        </w:rPr>
      </w:pPr>
    </w:p>
    <w:p w:rsidR="000B3F96" w:rsidRDefault="000B3F96">
      <w:pPr>
        <w:rPr>
          <w:b/>
        </w:rPr>
      </w:pPr>
    </w:p>
    <w:p w:rsidR="000B3F96" w:rsidRDefault="000B3F96">
      <w:pPr>
        <w:rPr>
          <w:b/>
        </w:rPr>
      </w:pPr>
    </w:p>
    <w:p w:rsidR="000B3F96" w:rsidRDefault="000B3F96">
      <w:pPr>
        <w:rPr>
          <w:b/>
        </w:rPr>
      </w:pPr>
    </w:p>
    <w:p w:rsidR="000B3F96" w:rsidRDefault="000B3F96">
      <w:pPr>
        <w:rPr>
          <w:b/>
        </w:rPr>
      </w:pPr>
    </w:p>
    <w:p w:rsidR="000B3F96" w:rsidRDefault="000B3F96">
      <w:pPr>
        <w:rPr>
          <w:b/>
        </w:rPr>
      </w:pPr>
    </w:p>
    <w:p w:rsidR="00102944" w:rsidRDefault="00102944">
      <w:pPr>
        <w:rPr>
          <w:b/>
        </w:rPr>
      </w:pPr>
    </w:p>
    <w:p w:rsidR="00102944" w:rsidRDefault="00102944">
      <w:pPr>
        <w:rPr>
          <w:b/>
        </w:rPr>
      </w:pPr>
    </w:p>
    <w:p w:rsidR="000B3F96" w:rsidRPr="000B3F96" w:rsidRDefault="000B3F96" w:rsidP="000B3F96">
      <w:pPr>
        <w:pStyle w:val="NoSpacing"/>
        <w:rPr>
          <w:rFonts w:ascii="Arial" w:hAnsi="Arial" w:cs="Arial"/>
        </w:rPr>
      </w:pPr>
      <w:r w:rsidRPr="000B3F96">
        <w:rPr>
          <w:rFonts w:ascii="Arial" w:hAnsi="Arial" w:cs="Arial"/>
        </w:rPr>
        <w:t>Brian Smith</w:t>
      </w:r>
    </w:p>
    <w:p w:rsidR="000B3F96" w:rsidRPr="000B3F96" w:rsidRDefault="000B3F96" w:rsidP="000B3F96">
      <w:pPr>
        <w:pStyle w:val="NoSpacing"/>
        <w:rPr>
          <w:rFonts w:ascii="Arial" w:hAnsi="Arial" w:cs="Arial"/>
        </w:rPr>
      </w:pPr>
      <w:r w:rsidRPr="000B3F96">
        <w:rPr>
          <w:rFonts w:ascii="Arial" w:hAnsi="Arial" w:cs="Arial"/>
        </w:rPr>
        <w:t>Brian Smith Advisory Services Limited</w:t>
      </w:r>
    </w:p>
    <w:p w:rsidR="000B3F96" w:rsidRPr="000B3F96" w:rsidRDefault="000B3F96" w:rsidP="000B3F96">
      <w:pPr>
        <w:pStyle w:val="NoSpacing"/>
        <w:rPr>
          <w:rFonts w:ascii="Arial" w:hAnsi="Arial" w:cs="Arial"/>
        </w:rPr>
      </w:pPr>
      <w:r w:rsidRPr="000B3F96">
        <w:rPr>
          <w:rFonts w:ascii="Arial" w:hAnsi="Arial" w:cs="Arial"/>
        </w:rPr>
        <w:t>November 2014</w:t>
      </w:r>
    </w:p>
    <w:p w:rsidR="000B3F96" w:rsidRPr="000B3F96" w:rsidRDefault="000B3F96" w:rsidP="000B3F96">
      <w:pPr>
        <w:pStyle w:val="NoSpacing"/>
      </w:pPr>
    </w:p>
    <w:p w:rsidR="000B3F96" w:rsidRDefault="000B3F96" w:rsidP="000B3F96">
      <w:pPr>
        <w:pStyle w:val="NoSpacing"/>
      </w:pPr>
    </w:p>
    <w:p w:rsidR="000B3F96" w:rsidRDefault="000B3F96" w:rsidP="000B3F96">
      <w:pPr>
        <w:pStyle w:val="NoSpacing"/>
      </w:pPr>
    </w:p>
    <w:p w:rsidR="00D35E14" w:rsidRDefault="00D35E14" w:rsidP="000B3F96">
      <w:pPr>
        <w:rPr>
          <w:b/>
        </w:rPr>
      </w:pPr>
    </w:p>
    <w:p w:rsidR="00D35E14" w:rsidRDefault="00D35E14" w:rsidP="000B3F96">
      <w:pPr>
        <w:rPr>
          <w:b/>
        </w:rPr>
      </w:pPr>
    </w:p>
    <w:p w:rsidR="000B3F96" w:rsidRPr="000B3F96" w:rsidRDefault="000B3F96" w:rsidP="000B3F96">
      <w:pPr>
        <w:pStyle w:val="NoSpacing"/>
        <w:rPr>
          <w:rFonts w:ascii="Arial" w:hAnsi="Arial" w:cs="Arial"/>
          <w:b/>
        </w:rPr>
      </w:pPr>
      <w:r w:rsidRPr="000B3F96">
        <w:rPr>
          <w:rFonts w:ascii="Arial" w:hAnsi="Arial" w:cs="Arial"/>
          <w:b/>
        </w:rPr>
        <w:t>P</w:t>
      </w:r>
      <w:r>
        <w:rPr>
          <w:rFonts w:ascii="Arial" w:hAnsi="Arial" w:cs="Arial"/>
          <w:b/>
        </w:rPr>
        <w:t>urpose and scope of this report</w:t>
      </w:r>
    </w:p>
    <w:p w:rsidR="000B3F96" w:rsidRPr="000B3F96" w:rsidRDefault="000B3F96" w:rsidP="000B3F96">
      <w:pPr>
        <w:pStyle w:val="NoSpacing"/>
        <w:rPr>
          <w:rFonts w:ascii="Arial" w:hAnsi="Arial" w:cs="Arial"/>
        </w:rPr>
      </w:pPr>
    </w:p>
    <w:p w:rsidR="000B3F96" w:rsidRDefault="000B3F96" w:rsidP="000B3F96">
      <w:pPr>
        <w:pStyle w:val="NoSpacing"/>
        <w:rPr>
          <w:rFonts w:ascii="Arial" w:hAnsi="Arial" w:cs="Arial"/>
        </w:rPr>
      </w:pPr>
      <w:r w:rsidRPr="000B3F96">
        <w:rPr>
          <w:rFonts w:ascii="Arial" w:hAnsi="Arial" w:cs="Arial"/>
        </w:rPr>
        <w:t xml:space="preserve">This report is for the Local Government Commission (LGC). It is part of a package of reports on reasonably practicable options for Wellington Region local government </w:t>
      </w:r>
      <w:r>
        <w:rPr>
          <w:rFonts w:ascii="Arial" w:hAnsi="Arial" w:cs="Arial"/>
        </w:rPr>
        <w:t>reorganisation</w:t>
      </w:r>
      <w:r w:rsidRPr="000B3F96">
        <w:rPr>
          <w:rFonts w:ascii="Arial" w:hAnsi="Arial" w:cs="Arial"/>
        </w:rPr>
        <w:t xml:space="preserve">. </w:t>
      </w:r>
    </w:p>
    <w:p w:rsidR="000B3F96" w:rsidRDefault="000B3F96" w:rsidP="000B3F96">
      <w:pPr>
        <w:pStyle w:val="NoSpacing"/>
        <w:rPr>
          <w:rFonts w:ascii="Arial" w:hAnsi="Arial" w:cs="Arial"/>
        </w:rPr>
      </w:pPr>
    </w:p>
    <w:p w:rsidR="000B3F96" w:rsidRPr="000B3F96" w:rsidRDefault="000B3F96" w:rsidP="000B3F96">
      <w:pPr>
        <w:pStyle w:val="NoSpacing"/>
        <w:rPr>
          <w:rFonts w:ascii="Arial" w:hAnsi="Arial" w:cs="Arial"/>
          <w:i/>
        </w:rPr>
      </w:pPr>
      <w:r w:rsidRPr="000B3F96">
        <w:rPr>
          <w:rFonts w:ascii="Arial" w:hAnsi="Arial" w:cs="Arial"/>
        </w:rPr>
        <w:t>The package of reports is as follows:</w:t>
      </w:r>
    </w:p>
    <w:p w:rsidR="000B3F96" w:rsidRPr="000B3F96" w:rsidRDefault="000B3F96" w:rsidP="000B3F96">
      <w:pPr>
        <w:pStyle w:val="NoSpacing"/>
        <w:rPr>
          <w:rFonts w:ascii="Arial" w:hAnsi="Arial" w:cs="Arial"/>
          <w:i/>
        </w:rPr>
      </w:pPr>
    </w:p>
    <w:p w:rsidR="000B3F96" w:rsidRPr="000B3F96" w:rsidRDefault="000B3F96" w:rsidP="000B3F96">
      <w:pPr>
        <w:pStyle w:val="NoSpacing"/>
        <w:numPr>
          <w:ilvl w:val="0"/>
          <w:numId w:val="4"/>
        </w:numPr>
        <w:rPr>
          <w:rFonts w:ascii="Arial" w:hAnsi="Arial" w:cs="Arial"/>
          <w:i/>
        </w:rPr>
      </w:pPr>
      <w:r w:rsidRPr="000B3F96">
        <w:rPr>
          <w:rFonts w:ascii="Arial" w:hAnsi="Arial" w:cs="Arial"/>
        </w:rPr>
        <w:t>McGredy Winder Ltd- consulting team lead and overview report.</w:t>
      </w:r>
    </w:p>
    <w:p w:rsidR="000B3F96" w:rsidRPr="000B3F96" w:rsidRDefault="000B3F96" w:rsidP="000B3F96">
      <w:pPr>
        <w:pStyle w:val="NoSpacing"/>
        <w:rPr>
          <w:rFonts w:ascii="Arial" w:hAnsi="Arial" w:cs="Arial"/>
          <w:i/>
        </w:rPr>
      </w:pPr>
    </w:p>
    <w:p w:rsidR="000B3F96" w:rsidRPr="000B3F96" w:rsidRDefault="000B3F96" w:rsidP="000B3F96">
      <w:pPr>
        <w:pStyle w:val="NoSpacing"/>
        <w:numPr>
          <w:ilvl w:val="0"/>
          <w:numId w:val="4"/>
        </w:numPr>
        <w:rPr>
          <w:rFonts w:ascii="Arial" w:hAnsi="Arial" w:cs="Arial"/>
          <w:i/>
        </w:rPr>
      </w:pPr>
      <w:r w:rsidRPr="000B3F96">
        <w:rPr>
          <w:rFonts w:ascii="Arial" w:hAnsi="Arial" w:cs="Arial"/>
        </w:rPr>
        <w:t>Stimpson &amp; Co Ltd - analysis of transition costs to achieve cost efficiencies and summary of net costs and benefits.</w:t>
      </w:r>
    </w:p>
    <w:p w:rsidR="000B3F96" w:rsidRPr="000B3F96" w:rsidRDefault="000B3F96" w:rsidP="000B3F96">
      <w:pPr>
        <w:pStyle w:val="NoSpacing"/>
        <w:rPr>
          <w:rFonts w:ascii="Arial" w:hAnsi="Arial" w:cs="Arial"/>
          <w:i/>
        </w:rPr>
      </w:pPr>
    </w:p>
    <w:p w:rsidR="000B3F96" w:rsidRPr="000B3F96" w:rsidRDefault="000B3F96" w:rsidP="000B3F96">
      <w:pPr>
        <w:pStyle w:val="NoSpacing"/>
        <w:numPr>
          <w:ilvl w:val="0"/>
          <w:numId w:val="4"/>
        </w:numPr>
        <w:rPr>
          <w:rFonts w:ascii="Arial" w:hAnsi="Arial" w:cs="Arial"/>
          <w:i/>
        </w:rPr>
      </w:pPr>
      <w:r w:rsidRPr="000B3F96">
        <w:rPr>
          <w:rFonts w:ascii="Arial" w:hAnsi="Arial" w:cs="Arial"/>
        </w:rPr>
        <w:t>Deloitte report on IT implementation costs. IT Implementation costs are those costs (primarily IT but also other expenses) that allow the new entity to function on day one.</w:t>
      </w:r>
    </w:p>
    <w:p w:rsidR="000B3F96" w:rsidRPr="000B3F96" w:rsidRDefault="000B3F96" w:rsidP="000B3F96">
      <w:pPr>
        <w:pStyle w:val="NoSpacing"/>
        <w:rPr>
          <w:rFonts w:ascii="Arial" w:hAnsi="Arial" w:cs="Arial"/>
          <w:i/>
        </w:rPr>
      </w:pPr>
    </w:p>
    <w:p w:rsidR="000B3F96" w:rsidRPr="000B3F96" w:rsidRDefault="000B3F96" w:rsidP="00D35E14">
      <w:pPr>
        <w:pStyle w:val="NoSpacing"/>
        <w:numPr>
          <w:ilvl w:val="0"/>
          <w:numId w:val="4"/>
        </w:numPr>
        <w:rPr>
          <w:rFonts w:ascii="Arial" w:hAnsi="Arial" w:cs="Arial"/>
          <w:i/>
        </w:rPr>
      </w:pPr>
      <w:r w:rsidRPr="000B3F96">
        <w:rPr>
          <w:rFonts w:ascii="Arial" w:hAnsi="Arial" w:cs="Arial"/>
        </w:rPr>
        <w:t>This report from Brian Smith Advisory Services Limited on the analysis of potential cost efficiencies</w:t>
      </w:r>
      <w:r w:rsidR="00D35E14">
        <w:rPr>
          <w:rFonts w:ascii="Arial" w:hAnsi="Arial" w:cs="Arial"/>
        </w:rPr>
        <w:t xml:space="preserve"> on reasonably practicable options.</w:t>
      </w:r>
    </w:p>
    <w:p w:rsidR="000B3F96" w:rsidRPr="000B3F96" w:rsidRDefault="000B3F96" w:rsidP="000B3F96">
      <w:pPr>
        <w:pStyle w:val="NoSpacing"/>
        <w:rPr>
          <w:rFonts w:ascii="Arial" w:hAnsi="Arial" w:cs="Arial"/>
          <w:i/>
        </w:rPr>
      </w:pPr>
    </w:p>
    <w:p w:rsidR="000B3F96" w:rsidRPr="00D35E14" w:rsidRDefault="000B3F96" w:rsidP="000B3F96">
      <w:pPr>
        <w:pStyle w:val="NoSpacing"/>
        <w:rPr>
          <w:rFonts w:ascii="Arial" w:hAnsi="Arial" w:cs="Arial"/>
          <w:b/>
        </w:rPr>
      </w:pPr>
      <w:r w:rsidRPr="00D35E14">
        <w:rPr>
          <w:rFonts w:ascii="Arial" w:hAnsi="Arial" w:cs="Arial"/>
          <w:b/>
        </w:rPr>
        <w:t>Approach</w:t>
      </w:r>
    </w:p>
    <w:p w:rsidR="000B3F96" w:rsidRPr="000B3F96" w:rsidRDefault="000B3F96" w:rsidP="000B3F96">
      <w:pPr>
        <w:pStyle w:val="NoSpacing"/>
        <w:rPr>
          <w:rFonts w:ascii="Arial" w:hAnsi="Arial" w:cs="Arial"/>
        </w:rPr>
      </w:pPr>
    </w:p>
    <w:p w:rsidR="000B3F96" w:rsidRPr="000B3F96" w:rsidRDefault="000B3F96" w:rsidP="000B3F96">
      <w:pPr>
        <w:pStyle w:val="NoSpacing"/>
        <w:rPr>
          <w:rFonts w:ascii="Arial" w:hAnsi="Arial" w:cs="Arial"/>
        </w:rPr>
      </w:pPr>
      <w:r w:rsidRPr="000B3F96">
        <w:rPr>
          <w:rFonts w:ascii="Arial" w:hAnsi="Arial" w:cs="Arial"/>
        </w:rPr>
        <w:t xml:space="preserve">This report has been prepared by Brian Smith Advisory Services Ltd in collaboration with McGredy Winder and Stimpson &amp; Co Ltd. Key assumptions </w:t>
      </w:r>
      <w:r w:rsidR="00D35E14">
        <w:rPr>
          <w:rFonts w:ascii="Arial" w:hAnsi="Arial" w:cs="Arial"/>
        </w:rPr>
        <w:t xml:space="preserve">were developed in August 2014 and </w:t>
      </w:r>
      <w:r w:rsidRPr="000B3F96">
        <w:rPr>
          <w:rFonts w:ascii="Arial" w:hAnsi="Arial" w:cs="Arial"/>
        </w:rPr>
        <w:t>have been agr</w:t>
      </w:r>
      <w:r w:rsidR="00D35E14">
        <w:rPr>
          <w:rFonts w:ascii="Arial" w:hAnsi="Arial" w:cs="Arial"/>
        </w:rPr>
        <w:t xml:space="preserve">eed by this team </w:t>
      </w:r>
      <w:r w:rsidRPr="000B3F96">
        <w:rPr>
          <w:rFonts w:ascii="Arial" w:hAnsi="Arial" w:cs="Arial"/>
        </w:rPr>
        <w:t xml:space="preserve">with input from LGC staff.  </w:t>
      </w:r>
    </w:p>
    <w:p w:rsidR="000B3F96" w:rsidRPr="000B3F96" w:rsidRDefault="000B3F96" w:rsidP="000B3F96">
      <w:pPr>
        <w:pStyle w:val="NoSpacing"/>
        <w:rPr>
          <w:rFonts w:ascii="Arial" w:hAnsi="Arial" w:cs="Arial"/>
        </w:rPr>
      </w:pPr>
    </w:p>
    <w:p w:rsidR="000B3F96" w:rsidRPr="000B3F96" w:rsidRDefault="000B3F96" w:rsidP="000B3F96">
      <w:pPr>
        <w:pStyle w:val="NoSpacing"/>
        <w:rPr>
          <w:rFonts w:ascii="Arial" w:hAnsi="Arial" w:cs="Arial"/>
        </w:rPr>
      </w:pPr>
    </w:p>
    <w:p w:rsidR="00D35E14" w:rsidRPr="00D35E14" w:rsidRDefault="00D35E14" w:rsidP="000B3F96">
      <w:pPr>
        <w:pStyle w:val="NoSpacing"/>
        <w:rPr>
          <w:rFonts w:ascii="Arial" w:hAnsi="Arial" w:cs="Arial"/>
          <w:b/>
        </w:rPr>
      </w:pPr>
      <w:r w:rsidRPr="00D35E14">
        <w:rPr>
          <w:rFonts w:ascii="Arial" w:hAnsi="Arial" w:cs="Arial"/>
          <w:b/>
        </w:rPr>
        <w:t>Reasonably Practicable Options</w:t>
      </w:r>
    </w:p>
    <w:p w:rsidR="00D35E14" w:rsidRDefault="00D35E14" w:rsidP="000B3F96">
      <w:pPr>
        <w:pStyle w:val="NoSpacing"/>
        <w:rPr>
          <w:rFonts w:ascii="Arial" w:hAnsi="Arial" w:cs="Arial"/>
        </w:rPr>
      </w:pPr>
    </w:p>
    <w:p w:rsidR="000B3F96" w:rsidRPr="000B3F96" w:rsidRDefault="000B3F96" w:rsidP="000B3F96">
      <w:pPr>
        <w:pStyle w:val="NoSpacing"/>
        <w:rPr>
          <w:rFonts w:ascii="Arial" w:hAnsi="Arial" w:cs="Arial"/>
        </w:rPr>
      </w:pPr>
      <w:r w:rsidRPr="000B3F96">
        <w:rPr>
          <w:rFonts w:ascii="Arial" w:hAnsi="Arial" w:cs="Arial"/>
        </w:rPr>
        <w:t xml:space="preserve">The </w:t>
      </w:r>
      <w:r w:rsidR="00D35E14">
        <w:rPr>
          <w:rFonts w:ascii="Arial" w:hAnsi="Arial" w:cs="Arial"/>
        </w:rPr>
        <w:t>reasonably practicable options have been established as;</w:t>
      </w:r>
    </w:p>
    <w:p w:rsidR="000B3F96" w:rsidRPr="00D35E14" w:rsidRDefault="000B3F96" w:rsidP="000B3F96">
      <w:pPr>
        <w:pStyle w:val="NoSpacing"/>
        <w:rPr>
          <w:rFonts w:ascii="Arial" w:hAnsi="Arial" w:cs="Arial"/>
          <w:b/>
        </w:rPr>
      </w:pPr>
    </w:p>
    <w:p w:rsidR="00D35E14" w:rsidRPr="00D35E14" w:rsidRDefault="00D35E14" w:rsidP="000B3F96">
      <w:pPr>
        <w:pStyle w:val="NoSpacing"/>
        <w:rPr>
          <w:rFonts w:ascii="Arial" w:hAnsi="Arial" w:cs="Arial"/>
          <w:b/>
          <w:i/>
        </w:rPr>
      </w:pPr>
      <w:r w:rsidRPr="00D35E14">
        <w:rPr>
          <w:rFonts w:ascii="Arial" w:hAnsi="Arial" w:cs="Arial"/>
          <w:b/>
          <w:i/>
        </w:rPr>
        <w:t xml:space="preserve">Option1 – Status Quo </w:t>
      </w:r>
    </w:p>
    <w:p w:rsidR="00D35E14" w:rsidRDefault="00D35E14" w:rsidP="000B3F96">
      <w:pPr>
        <w:pStyle w:val="NoSpacing"/>
        <w:rPr>
          <w:rFonts w:ascii="Arial" w:hAnsi="Arial" w:cs="Arial"/>
          <w:i/>
        </w:rPr>
      </w:pPr>
    </w:p>
    <w:p w:rsidR="00D35E14" w:rsidRDefault="00D35E14" w:rsidP="000B3F96">
      <w:pPr>
        <w:pStyle w:val="NoSpacing"/>
        <w:rPr>
          <w:rFonts w:ascii="Arial" w:hAnsi="Arial" w:cs="Arial"/>
        </w:rPr>
      </w:pPr>
      <w:r>
        <w:rPr>
          <w:rFonts w:ascii="Arial" w:hAnsi="Arial" w:cs="Arial"/>
        </w:rPr>
        <w:t>Where the existing Council boundaries and services are retained.</w:t>
      </w:r>
    </w:p>
    <w:p w:rsidR="00D35E14" w:rsidRDefault="00D35E14" w:rsidP="000B3F96">
      <w:pPr>
        <w:pStyle w:val="NoSpacing"/>
        <w:rPr>
          <w:rFonts w:ascii="Arial" w:hAnsi="Arial" w:cs="Arial"/>
        </w:rPr>
      </w:pPr>
    </w:p>
    <w:p w:rsidR="00D35E14" w:rsidRPr="00D35E14" w:rsidRDefault="00D35E14" w:rsidP="000B3F96">
      <w:pPr>
        <w:pStyle w:val="NoSpacing"/>
        <w:rPr>
          <w:rFonts w:ascii="Arial" w:hAnsi="Arial" w:cs="Arial"/>
        </w:rPr>
      </w:pPr>
    </w:p>
    <w:p w:rsidR="000B3F96" w:rsidRPr="00D35E14" w:rsidRDefault="000B3F96" w:rsidP="000B3F96">
      <w:pPr>
        <w:pStyle w:val="NoSpacing"/>
        <w:rPr>
          <w:rFonts w:ascii="Arial" w:hAnsi="Arial" w:cs="Arial"/>
          <w:b/>
          <w:i/>
        </w:rPr>
      </w:pPr>
      <w:r w:rsidRPr="00D35E14">
        <w:rPr>
          <w:rFonts w:ascii="Arial" w:hAnsi="Arial" w:cs="Arial"/>
          <w:b/>
          <w:i/>
        </w:rPr>
        <w:t>Option2- Enhanced Local Efficiency</w:t>
      </w:r>
    </w:p>
    <w:p w:rsidR="000B3F96" w:rsidRPr="000B3F96" w:rsidRDefault="000B3F96" w:rsidP="000B3F96">
      <w:pPr>
        <w:pStyle w:val="NoSpacing"/>
        <w:rPr>
          <w:rFonts w:ascii="Arial" w:hAnsi="Arial" w:cs="Arial"/>
        </w:rPr>
      </w:pPr>
    </w:p>
    <w:p w:rsidR="000B3F96" w:rsidRPr="000B3F96" w:rsidRDefault="000B3F96" w:rsidP="000B3F96">
      <w:pPr>
        <w:pStyle w:val="NoSpacing"/>
        <w:rPr>
          <w:rFonts w:ascii="Arial" w:hAnsi="Arial" w:cs="Arial"/>
        </w:rPr>
      </w:pPr>
      <w:r w:rsidRPr="000B3F96">
        <w:rPr>
          <w:rFonts w:ascii="Arial" w:hAnsi="Arial" w:cs="Arial"/>
        </w:rPr>
        <w:t xml:space="preserve">This </w:t>
      </w:r>
      <w:r w:rsidR="00BA58F4">
        <w:rPr>
          <w:rFonts w:ascii="Arial" w:hAnsi="Arial" w:cs="Arial"/>
        </w:rPr>
        <w:t xml:space="preserve">option is </w:t>
      </w:r>
      <w:r w:rsidRPr="000B3F96">
        <w:rPr>
          <w:rFonts w:ascii="Arial" w:hAnsi="Arial" w:cs="Arial"/>
        </w:rPr>
        <w:t>split into three component options;</w:t>
      </w:r>
    </w:p>
    <w:p w:rsidR="000B3F96" w:rsidRPr="000B3F96" w:rsidRDefault="000B3F96" w:rsidP="000B3F96">
      <w:pPr>
        <w:pStyle w:val="NoSpacing"/>
        <w:rPr>
          <w:rFonts w:ascii="Arial" w:hAnsi="Arial" w:cs="Arial"/>
        </w:rPr>
      </w:pPr>
    </w:p>
    <w:p w:rsidR="000B3F96" w:rsidRPr="000B3F96" w:rsidRDefault="000B3F96" w:rsidP="00D35E14">
      <w:pPr>
        <w:pStyle w:val="NoSpacing"/>
        <w:numPr>
          <w:ilvl w:val="0"/>
          <w:numId w:val="8"/>
        </w:numPr>
        <w:rPr>
          <w:rFonts w:ascii="Arial" w:hAnsi="Arial" w:cs="Arial"/>
        </w:rPr>
      </w:pPr>
      <w:r w:rsidRPr="000B3F96">
        <w:rPr>
          <w:rFonts w:ascii="Arial" w:hAnsi="Arial" w:cs="Arial"/>
        </w:rPr>
        <w:t>One Wairarapa Council – comprising of the existing Masterton, Carterton and South Wairarapa Districts (option 2.1)</w:t>
      </w:r>
    </w:p>
    <w:p w:rsidR="000B3F96" w:rsidRPr="000B3F96" w:rsidRDefault="000B3F96" w:rsidP="000B3F96">
      <w:pPr>
        <w:pStyle w:val="NoSpacing"/>
        <w:rPr>
          <w:rFonts w:ascii="Arial" w:hAnsi="Arial" w:cs="Arial"/>
        </w:rPr>
      </w:pPr>
    </w:p>
    <w:p w:rsidR="000B3F96" w:rsidRPr="000B3F96" w:rsidRDefault="000B3F96" w:rsidP="00D35E14">
      <w:pPr>
        <w:pStyle w:val="NoSpacing"/>
        <w:numPr>
          <w:ilvl w:val="0"/>
          <w:numId w:val="8"/>
        </w:numPr>
        <w:rPr>
          <w:rFonts w:ascii="Arial" w:hAnsi="Arial" w:cs="Arial"/>
        </w:rPr>
      </w:pPr>
      <w:r w:rsidRPr="000B3F96">
        <w:rPr>
          <w:rFonts w:ascii="Arial" w:hAnsi="Arial" w:cs="Arial"/>
        </w:rPr>
        <w:t>One Hutt Council – comprising of the existing Hutt and Upper Hutt Cities (option 2.2)</w:t>
      </w:r>
    </w:p>
    <w:p w:rsidR="000B3F96" w:rsidRPr="000B3F96" w:rsidRDefault="000B3F96" w:rsidP="000B3F96">
      <w:pPr>
        <w:pStyle w:val="NoSpacing"/>
        <w:rPr>
          <w:rFonts w:ascii="Arial" w:hAnsi="Arial" w:cs="Arial"/>
        </w:rPr>
      </w:pPr>
    </w:p>
    <w:p w:rsidR="000B3F96" w:rsidRPr="000B3F96" w:rsidRDefault="000B3F96" w:rsidP="00D35E14">
      <w:pPr>
        <w:pStyle w:val="NoSpacing"/>
        <w:numPr>
          <w:ilvl w:val="0"/>
          <w:numId w:val="8"/>
        </w:numPr>
        <w:rPr>
          <w:rFonts w:ascii="Arial" w:hAnsi="Arial" w:cs="Arial"/>
        </w:rPr>
      </w:pPr>
      <w:r w:rsidRPr="000B3F96">
        <w:rPr>
          <w:rFonts w:ascii="Arial" w:hAnsi="Arial" w:cs="Arial"/>
        </w:rPr>
        <w:t>One Western and North Council – comprising of the existing Kapiti and Porirua and Wellington Cities(option 2.3)</w:t>
      </w:r>
    </w:p>
    <w:p w:rsidR="00D35E14" w:rsidRDefault="00D35E14" w:rsidP="000B3F96">
      <w:pPr>
        <w:pStyle w:val="NoSpacing"/>
        <w:rPr>
          <w:rFonts w:ascii="Arial" w:hAnsi="Arial" w:cs="Arial"/>
        </w:rPr>
      </w:pPr>
    </w:p>
    <w:p w:rsidR="00D35E14" w:rsidRPr="000B3F96" w:rsidRDefault="00D35E14" w:rsidP="000B3F96">
      <w:pPr>
        <w:pStyle w:val="NoSpacing"/>
        <w:rPr>
          <w:rFonts w:ascii="Arial" w:hAnsi="Arial" w:cs="Arial"/>
        </w:rPr>
      </w:pPr>
    </w:p>
    <w:p w:rsidR="000B3F96" w:rsidRPr="00BA58F4" w:rsidRDefault="000B3F96" w:rsidP="000B3F96">
      <w:pPr>
        <w:pStyle w:val="NoSpacing"/>
        <w:rPr>
          <w:rFonts w:ascii="Arial" w:hAnsi="Arial" w:cs="Arial"/>
          <w:b/>
          <w:i/>
        </w:rPr>
      </w:pPr>
      <w:r w:rsidRPr="00BA58F4">
        <w:rPr>
          <w:rFonts w:ascii="Arial" w:hAnsi="Arial" w:cs="Arial"/>
          <w:b/>
          <w:i/>
        </w:rPr>
        <w:t>Option 3 – Stronger Regional Delivery; transfer of major obligations to the Greater Wellington Regional Council</w:t>
      </w:r>
    </w:p>
    <w:p w:rsidR="000B3F96" w:rsidRPr="000B3F96" w:rsidRDefault="000B3F96" w:rsidP="000B3F96">
      <w:pPr>
        <w:pStyle w:val="NoSpacing"/>
        <w:rPr>
          <w:rFonts w:ascii="Arial" w:hAnsi="Arial" w:cs="Arial"/>
          <w:i/>
        </w:rPr>
      </w:pPr>
    </w:p>
    <w:p w:rsidR="000B3F96" w:rsidRPr="000B3F96" w:rsidRDefault="000B3F96" w:rsidP="000B3F96">
      <w:pPr>
        <w:pStyle w:val="NoSpacing"/>
        <w:rPr>
          <w:rFonts w:ascii="Arial" w:hAnsi="Arial" w:cs="Arial"/>
          <w:i/>
        </w:rPr>
      </w:pPr>
    </w:p>
    <w:p w:rsidR="000B3F96" w:rsidRPr="00BA58F4" w:rsidRDefault="000B3F96" w:rsidP="000B3F96">
      <w:pPr>
        <w:pStyle w:val="NoSpacing"/>
        <w:rPr>
          <w:rFonts w:ascii="Arial" w:hAnsi="Arial" w:cs="Arial"/>
          <w:b/>
          <w:i/>
        </w:rPr>
      </w:pPr>
      <w:r w:rsidRPr="00BA58F4">
        <w:rPr>
          <w:rFonts w:ascii="Arial" w:hAnsi="Arial" w:cs="Arial"/>
          <w:b/>
          <w:i/>
        </w:rPr>
        <w:t>Option 4 – One Wellington Unitary Council (with the sub options of local boards and without local boards)</w:t>
      </w:r>
    </w:p>
    <w:p w:rsidR="000B3F96" w:rsidRPr="000B3F96" w:rsidRDefault="000B3F96" w:rsidP="000B3F96">
      <w:pPr>
        <w:pStyle w:val="NoSpacing"/>
        <w:rPr>
          <w:rFonts w:ascii="Arial" w:hAnsi="Arial" w:cs="Arial"/>
          <w:i/>
        </w:rPr>
      </w:pPr>
    </w:p>
    <w:p w:rsidR="00BA58F4" w:rsidRDefault="00BA58F4" w:rsidP="000B3F96">
      <w:pPr>
        <w:pStyle w:val="NoSpacing"/>
        <w:rPr>
          <w:rFonts w:ascii="Arial" w:hAnsi="Arial" w:cs="Arial"/>
        </w:rPr>
      </w:pPr>
    </w:p>
    <w:p w:rsidR="00BA58F4" w:rsidRDefault="00BA58F4" w:rsidP="000B3F96">
      <w:pPr>
        <w:pStyle w:val="NoSpacing"/>
        <w:rPr>
          <w:rFonts w:ascii="Arial" w:hAnsi="Arial" w:cs="Arial"/>
        </w:rPr>
      </w:pPr>
    </w:p>
    <w:p w:rsidR="00BA58F4" w:rsidRDefault="00BA58F4" w:rsidP="000B3F96">
      <w:pPr>
        <w:pStyle w:val="NoSpacing"/>
        <w:rPr>
          <w:rFonts w:ascii="Arial" w:hAnsi="Arial" w:cs="Arial"/>
        </w:rPr>
      </w:pPr>
    </w:p>
    <w:p w:rsidR="00BA58F4" w:rsidRDefault="00BA58F4" w:rsidP="000B3F96">
      <w:pPr>
        <w:pStyle w:val="NoSpacing"/>
        <w:rPr>
          <w:rFonts w:ascii="Arial" w:hAnsi="Arial" w:cs="Arial"/>
        </w:rPr>
      </w:pPr>
    </w:p>
    <w:p w:rsidR="000B3F96" w:rsidRDefault="00BA58F4" w:rsidP="000B3F96">
      <w:pPr>
        <w:pStyle w:val="NoSpacing"/>
        <w:rPr>
          <w:rFonts w:ascii="Arial" w:hAnsi="Arial" w:cs="Arial"/>
        </w:rPr>
      </w:pPr>
      <w:r>
        <w:rPr>
          <w:rFonts w:ascii="Arial" w:hAnsi="Arial" w:cs="Arial"/>
        </w:rPr>
        <w:t>In this report Options 2 through 4 are analysed for potential cost savings. No analysis is relevant for Option 1 – status quo</w:t>
      </w:r>
    </w:p>
    <w:p w:rsidR="00BA58F4" w:rsidRDefault="00BA58F4" w:rsidP="000B3F96">
      <w:pPr>
        <w:pStyle w:val="NoSpacing"/>
        <w:rPr>
          <w:rFonts w:ascii="Arial" w:hAnsi="Arial" w:cs="Arial"/>
        </w:rPr>
      </w:pPr>
    </w:p>
    <w:p w:rsidR="00BA58F4" w:rsidRPr="00BA58F4" w:rsidRDefault="00BA58F4" w:rsidP="000B3F96">
      <w:pPr>
        <w:pStyle w:val="NoSpacing"/>
        <w:rPr>
          <w:rFonts w:ascii="Arial" w:hAnsi="Arial" w:cs="Arial"/>
          <w:b/>
        </w:rPr>
      </w:pPr>
      <w:r w:rsidRPr="00BA58F4">
        <w:rPr>
          <w:rFonts w:ascii="Arial" w:hAnsi="Arial" w:cs="Arial"/>
          <w:b/>
        </w:rPr>
        <w:t>Overarching Assumptions and Basis of Analysis</w:t>
      </w:r>
    </w:p>
    <w:p w:rsidR="000B3F96" w:rsidRPr="000B3F96" w:rsidRDefault="000B3F96" w:rsidP="000B3F96">
      <w:pPr>
        <w:pStyle w:val="NoSpacing"/>
        <w:rPr>
          <w:rFonts w:ascii="Arial" w:hAnsi="Arial" w:cs="Arial"/>
        </w:rPr>
      </w:pPr>
    </w:p>
    <w:p w:rsidR="00D35E14" w:rsidRPr="00D35E14" w:rsidRDefault="00D35E14" w:rsidP="00D35E14">
      <w:pPr>
        <w:spacing w:after="0" w:line="240" w:lineRule="auto"/>
        <w:rPr>
          <w:rFonts w:ascii="Arial" w:eastAsia="Calibri" w:hAnsi="Arial" w:cs="Arial"/>
        </w:rPr>
      </w:pPr>
      <w:r w:rsidRPr="00D35E14">
        <w:rPr>
          <w:rFonts w:ascii="Arial" w:eastAsia="Calibri" w:hAnsi="Arial" w:cs="Arial"/>
        </w:rPr>
        <w:t>In approaching this analysis the following general concepts and assumptions were applied;</w:t>
      </w:r>
    </w:p>
    <w:p w:rsidR="00D35E14" w:rsidRPr="00D35E14" w:rsidRDefault="00D35E14" w:rsidP="00D35E14">
      <w:pPr>
        <w:spacing w:after="0" w:line="240" w:lineRule="auto"/>
        <w:rPr>
          <w:rFonts w:ascii="Arial" w:eastAsia="Calibri" w:hAnsi="Arial" w:cs="Arial"/>
        </w:rPr>
      </w:pPr>
    </w:p>
    <w:p w:rsidR="00D35E14" w:rsidRPr="00D35E14" w:rsidRDefault="00D35E14" w:rsidP="00D35E14">
      <w:pPr>
        <w:numPr>
          <w:ilvl w:val="0"/>
          <w:numId w:val="5"/>
        </w:numPr>
        <w:spacing w:after="0" w:line="240" w:lineRule="auto"/>
        <w:jc w:val="both"/>
        <w:rPr>
          <w:rFonts w:ascii="Arial" w:eastAsia="Calibri" w:hAnsi="Arial" w:cs="Arial"/>
        </w:rPr>
      </w:pPr>
      <w:r w:rsidRPr="00D35E14">
        <w:rPr>
          <w:rFonts w:ascii="Arial" w:eastAsia="Calibri" w:hAnsi="Arial" w:cs="Arial"/>
        </w:rPr>
        <w:t>The analysis considers expenditure only – no review was made of future levels of revenue or funding sources.</w:t>
      </w:r>
    </w:p>
    <w:p w:rsidR="00D35E14" w:rsidRPr="00D35E14" w:rsidRDefault="00D35E14" w:rsidP="00D35E14">
      <w:pPr>
        <w:spacing w:after="0" w:line="240" w:lineRule="auto"/>
        <w:ind w:left="720"/>
        <w:rPr>
          <w:rFonts w:ascii="Arial" w:eastAsia="Calibri" w:hAnsi="Arial" w:cs="Arial"/>
        </w:rPr>
      </w:pPr>
    </w:p>
    <w:p w:rsidR="00D35E14" w:rsidRPr="00D35E14" w:rsidRDefault="00D35E14" w:rsidP="00D35E14">
      <w:pPr>
        <w:numPr>
          <w:ilvl w:val="0"/>
          <w:numId w:val="5"/>
        </w:numPr>
        <w:spacing w:after="0" w:line="240" w:lineRule="auto"/>
        <w:jc w:val="both"/>
        <w:rPr>
          <w:rFonts w:ascii="Arial" w:eastAsia="Calibri" w:hAnsi="Arial" w:cs="Arial"/>
        </w:rPr>
      </w:pPr>
      <w:r w:rsidRPr="00D35E14">
        <w:rPr>
          <w:rFonts w:ascii="Arial" w:eastAsia="Calibri" w:hAnsi="Arial" w:cs="Arial"/>
        </w:rPr>
        <w:t>Councils’ expenditure has been classified, for analysis purposes, into the following areas;</w:t>
      </w:r>
    </w:p>
    <w:p w:rsidR="00D35E14" w:rsidRPr="00D35E14" w:rsidRDefault="00D35E14" w:rsidP="00D35E14">
      <w:pPr>
        <w:numPr>
          <w:ilvl w:val="0"/>
          <w:numId w:val="6"/>
        </w:numPr>
        <w:spacing w:after="0" w:line="240" w:lineRule="auto"/>
        <w:jc w:val="both"/>
        <w:rPr>
          <w:rFonts w:ascii="Arial" w:eastAsia="Calibri" w:hAnsi="Arial" w:cs="Arial"/>
        </w:rPr>
      </w:pPr>
      <w:r w:rsidRPr="00D35E14">
        <w:rPr>
          <w:rFonts w:ascii="Arial" w:eastAsia="Calibri" w:hAnsi="Arial" w:cs="Arial"/>
        </w:rPr>
        <w:t>Activity operating payments</w:t>
      </w:r>
    </w:p>
    <w:p w:rsidR="00D35E14" w:rsidRPr="00D35E14" w:rsidRDefault="00D35E14" w:rsidP="00D35E14">
      <w:pPr>
        <w:numPr>
          <w:ilvl w:val="0"/>
          <w:numId w:val="6"/>
        </w:numPr>
        <w:spacing w:after="0" w:line="240" w:lineRule="auto"/>
        <w:jc w:val="both"/>
        <w:rPr>
          <w:rFonts w:ascii="Arial" w:eastAsia="Calibri" w:hAnsi="Arial" w:cs="Arial"/>
        </w:rPr>
      </w:pPr>
      <w:r w:rsidRPr="00D35E14">
        <w:rPr>
          <w:rFonts w:ascii="Arial" w:eastAsia="Calibri" w:hAnsi="Arial" w:cs="Arial"/>
        </w:rPr>
        <w:t>Activity capital payments</w:t>
      </w:r>
    </w:p>
    <w:p w:rsidR="00D35E14" w:rsidRPr="00D35E14" w:rsidRDefault="00D35E14" w:rsidP="00D35E14">
      <w:pPr>
        <w:numPr>
          <w:ilvl w:val="0"/>
          <w:numId w:val="6"/>
        </w:numPr>
        <w:spacing w:after="0" w:line="240" w:lineRule="auto"/>
        <w:jc w:val="both"/>
        <w:rPr>
          <w:rFonts w:ascii="Arial" w:eastAsia="Calibri" w:hAnsi="Arial" w:cs="Arial"/>
        </w:rPr>
      </w:pPr>
      <w:r w:rsidRPr="00D35E14">
        <w:rPr>
          <w:rFonts w:ascii="Arial" w:eastAsia="Calibri" w:hAnsi="Arial" w:cs="Arial"/>
        </w:rPr>
        <w:t>Corporate internal charges and overheads – personnel costs</w:t>
      </w:r>
    </w:p>
    <w:p w:rsidR="00D35E14" w:rsidRPr="00D35E14" w:rsidRDefault="00D35E14" w:rsidP="00D35E14">
      <w:pPr>
        <w:numPr>
          <w:ilvl w:val="0"/>
          <w:numId w:val="6"/>
        </w:numPr>
        <w:spacing w:after="0" w:line="240" w:lineRule="auto"/>
        <w:jc w:val="both"/>
        <w:rPr>
          <w:rFonts w:ascii="Arial" w:eastAsia="Calibri" w:hAnsi="Arial" w:cs="Arial"/>
        </w:rPr>
      </w:pPr>
      <w:r w:rsidRPr="00D35E14">
        <w:rPr>
          <w:rFonts w:ascii="Arial" w:eastAsia="Calibri" w:hAnsi="Arial" w:cs="Arial"/>
        </w:rPr>
        <w:t>Corporate internal charges and overheads – non-personnel costs</w:t>
      </w:r>
    </w:p>
    <w:p w:rsidR="00D35E14" w:rsidRPr="00D35E14" w:rsidRDefault="00D35E14" w:rsidP="00D35E14">
      <w:pPr>
        <w:numPr>
          <w:ilvl w:val="0"/>
          <w:numId w:val="6"/>
        </w:numPr>
        <w:spacing w:after="0" w:line="240" w:lineRule="auto"/>
        <w:jc w:val="both"/>
        <w:rPr>
          <w:rFonts w:ascii="Arial" w:eastAsia="Calibri" w:hAnsi="Arial" w:cs="Arial"/>
        </w:rPr>
      </w:pPr>
      <w:r w:rsidRPr="00D35E14">
        <w:rPr>
          <w:rFonts w:ascii="Arial" w:eastAsia="Calibri" w:hAnsi="Arial" w:cs="Arial"/>
        </w:rPr>
        <w:t>Governance personnel costs – this included Mayoral, Chair, elected member and CEO remuneration</w:t>
      </w:r>
    </w:p>
    <w:p w:rsidR="00D35E14" w:rsidRPr="00D35E14" w:rsidRDefault="00D35E14" w:rsidP="00D35E14">
      <w:pPr>
        <w:numPr>
          <w:ilvl w:val="0"/>
          <w:numId w:val="6"/>
        </w:numPr>
        <w:spacing w:after="0" w:line="240" w:lineRule="auto"/>
        <w:jc w:val="both"/>
        <w:rPr>
          <w:rFonts w:ascii="Arial" w:eastAsia="Calibri" w:hAnsi="Arial" w:cs="Arial"/>
        </w:rPr>
      </w:pPr>
      <w:r w:rsidRPr="00D35E14">
        <w:rPr>
          <w:rFonts w:ascii="Arial" w:eastAsia="Calibri" w:hAnsi="Arial" w:cs="Arial"/>
        </w:rPr>
        <w:t>External audit costs</w:t>
      </w:r>
    </w:p>
    <w:p w:rsidR="00D35E14" w:rsidRPr="00D35E14" w:rsidRDefault="00D35E14" w:rsidP="00D35E14">
      <w:pPr>
        <w:spacing w:after="0" w:line="240" w:lineRule="auto"/>
        <w:ind w:left="1440"/>
        <w:rPr>
          <w:rFonts w:ascii="Arial" w:eastAsia="Calibri" w:hAnsi="Arial" w:cs="Arial"/>
        </w:rPr>
      </w:pPr>
    </w:p>
    <w:p w:rsidR="00D35E14" w:rsidRPr="00D35E14" w:rsidRDefault="00D35E14" w:rsidP="00D35E14">
      <w:pPr>
        <w:spacing w:after="0" w:line="240" w:lineRule="auto"/>
        <w:ind w:left="720"/>
        <w:rPr>
          <w:rFonts w:ascii="Arial" w:eastAsia="Calibri" w:hAnsi="Arial" w:cs="Arial"/>
        </w:rPr>
      </w:pPr>
    </w:p>
    <w:p w:rsidR="00D35E14" w:rsidRPr="00D35E14" w:rsidRDefault="00BA58F4" w:rsidP="00D35E14">
      <w:pPr>
        <w:numPr>
          <w:ilvl w:val="0"/>
          <w:numId w:val="7"/>
        </w:numPr>
        <w:spacing w:after="0" w:line="240" w:lineRule="auto"/>
        <w:jc w:val="both"/>
        <w:rPr>
          <w:rFonts w:ascii="Arial" w:eastAsia="Calibri" w:hAnsi="Arial" w:cs="Arial"/>
        </w:rPr>
      </w:pPr>
      <w:r>
        <w:rPr>
          <w:rFonts w:ascii="Arial" w:eastAsia="Calibri" w:hAnsi="Arial" w:cs="Arial"/>
        </w:rPr>
        <w:t>There will be a three</w:t>
      </w:r>
      <w:r w:rsidR="00D35E14" w:rsidRPr="00D35E14">
        <w:rPr>
          <w:rFonts w:ascii="Arial" w:eastAsia="Calibri" w:hAnsi="Arial" w:cs="Arial"/>
        </w:rPr>
        <w:t xml:space="preserve"> year transition period; potential savings are graduated to reach the full savings from</w:t>
      </w:r>
      <w:r>
        <w:rPr>
          <w:rFonts w:ascii="Arial" w:eastAsia="Calibri" w:hAnsi="Arial" w:cs="Arial"/>
        </w:rPr>
        <w:t xml:space="preserve"> year four</w:t>
      </w:r>
      <w:r w:rsidR="00D35E14" w:rsidRPr="00D35E14">
        <w:rPr>
          <w:rFonts w:ascii="Arial" w:eastAsia="Calibri" w:hAnsi="Arial" w:cs="Arial"/>
        </w:rPr>
        <w:t xml:space="preserve"> onwards</w:t>
      </w:r>
      <w:r w:rsidR="00363282">
        <w:rPr>
          <w:rFonts w:ascii="Arial" w:eastAsia="Calibri" w:hAnsi="Arial" w:cs="Arial"/>
        </w:rPr>
        <w:t>.</w:t>
      </w:r>
      <w:r>
        <w:rPr>
          <w:rFonts w:ascii="Arial" w:eastAsia="Calibri" w:hAnsi="Arial" w:cs="Arial"/>
        </w:rPr>
        <w:t xml:space="preserve"> It is understood that this transition period may be shortened.</w:t>
      </w:r>
    </w:p>
    <w:p w:rsidR="00D35E14" w:rsidRPr="00D35E14" w:rsidRDefault="00D35E14" w:rsidP="00D35E14">
      <w:pPr>
        <w:spacing w:after="0" w:line="240" w:lineRule="auto"/>
        <w:rPr>
          <w:rFonts w:ascii="Arial" w:eastAsia="Calibri" w:hAnsi="Arial" w:cs="Arial"/>
        </w:rPr>
      </w:pPr>
    </w:p>
    <w:p w:rsidR="00D35E14" w:rsidRPr="00D35E14" w:rsidRDefault="00D35E14" w:rsidP="00D35E14">
      <w:pPr>
        <w:numPr>
          <w:ilvl w:val="0"/>
          <w:numId w:val="7"/>
        </w:numPr>
        <w:spacing w:after="0" w:line="240" w:lineRule="auto"/>
        <w:jc w:val="both"/>
        <w:rPr>
          <w:rFonts w:ascii="Arial" w:eastAsia="Calibri" w:hAnsi="Arial" w:cs="Arial"/>
        </w:rPr>
      </w:pPr>
      <w:r w:rsidRPr="00D35E14">
        <w:rPr>
          <w:rFonts w:ascii="Arial" w:eastAsia="Calibri" w:hAnsi="Arial" w:cs="Arial"/>
        </w:rPr>
        <w:t>The base information used for this analysis are councils’ 2012-22 Long Term Plans (LTPs). This wa</w:t>
      </w:r>
      <w:r w:rsidR="00BA58F4">
        <w:rPr>
          <w:rFonts w:ascii="Arial" w:eastAsia="Calibri" w:hAnsi="Arial" w:cs="Arial"/>
        </w:rPr>
        <w:t xml:space="preserve">s augmented by responses to </w:t>
      </w:r>
      <w:r w:rsidRPr="00D35E14">
        <w:rPr>
          <w:rFonts w:ascii="Arial" w:eastAsia="Calibri" w:hAnsi="Arial" w:cs="Arial"/>
        </w:rPr>
        <w:t>request</w:t>
      </w:r>
      <w:r w:rsidR="00BA58F4">
        <w:rPr>
          <w:rFonts w:ascii="Arial" w:eastAsia="Calibri" w:hAnsi="Arial" w:cs="Arial"/>
        </w:rPr>
        <w:t>s</w:t>
      </w:r>
      <w:r w:rsidRPr="00D35E14">
        <w:rPr>
          <w:rFonts w:ascii="Arial" w:eastAsia="Calibri" w:hAnsi="Arial" w:cs="Arial"/>
        </w:rPr>
        <w:t xml:space="preserve"> for information sent by the Com</w:t>
      </w:r>
      <w:r w:rsidR="00BA58F4">
        <w:rPr>
          <w:rFonts w:ascii="Arial" w:eastAsia="Calibri" w:hAnsi="Arial" w:cs="Arial"/>
        </w:rPr>
        <w:t>mission to Councils.</w:t>
      </w:r>
    </w:p>
    <w:p w:rsidR="00D35E14" w:rsidRPr="00D35E14" w:rsidRDefault="00D35E14" w:rsidP="00D35E14">
      <w:pPr>
        <w:spacing w:after="0" w:line="240" w:lineRule="auto"/>
        <w:rPr>
          <w:rFonts w:ascii="Arial" w:eastAsia="Calibri" w:hAnsi="Arial" w:cs="Arial"/>
        </w:rPr>
      </w:pPr>
    </w:p>
    <w:p w:rsidR="00D35E14" w:rsidRPr="00D35E14" w:rsidRDefault="00D35E14" w:rsidP="00D35E14">
      <w:pPr>
        <w:numPr>
          <w:ilvl w:val="0"/>
          <w:numId w:val="7"/>
        </w:numPr>
        <w:spacing w:after="0" w:line="240" w:lineRule="auto"/>
        <w:jc w:val="both"/>
        <w:rPr>
          <w:rFonts w:ascii="Arial" w:eastAsia="Calibri" w:hAnsi="Arial" w:cs="Arial"/>
        </w:rPr>
      </w:pPr>
      <w:r w:rsidRPr="00D35E14">
        <w:rPr>
          <w:rFonts w:ascii="Arial" w:eastAsia="Calibri" w:hAnsi="Arial" w:cs="Arial"/>
        </w:rPr>
        <w:t>The potential savings identified are based on a reasonable interpretation of what is considered achievable</w:t>
      </w:r>
      <w:r w:rsidR="00BA58F4">
        <w:rPr>
          <w:rFonts w:ascii="Arial" w:eastAsia="Calibri" w:hAnsi="Arial" w:cs="Arial"/>
        </w:rPr>
        <w:t xml:space="preserve"> on the basis of the methodology and assumptions adopted</w:t>
      </w:r>
      <w:r w:rsidRPr="00D35E14">
        <w:rPr>
          <w:rFonts w:ascii="Arial" w:eastAsia="Calibri" w:hAnsi="Arial" w:cs="Arial"/>
        </w:rPr>
        <w:t>. However there is no ‘guarantee’ that these savings will transpire. It is a “conservative should” rather than a “definite will”.</w:t>
      </w:r>
    </w:p>
    <w:p w:rsidR="00D35E14" w:rsidRPr="00D35E14" w:rsidRDefault="00D35E14" w:rsidP="00D35E14">
      <w:pPr>
        <w:spacing w:after="0" w:line="240" w:lineRule="auto"/>
        <w:ind w:left="720"/>
        <w:contextualSpacing/>
        <w:jc w:val="both"/>
        <w:rPr>
          <w:rFonts w:ascii="Arial" w:eastAsia="MS ??" w:hAnsi="Arial" w:cs="Arial"/>
          <w:szCs w:val="20"/>
          <w:lang w:val="en-AU" w:eastAsia="ja-JP"/>
        </w:rPr>
      </w:pPr>
    </w:p>
    <w:p w:rsidR="00D35E14" w:rsidRPr="00D35E14" w:rsidRDefault="00D35E14" w:rsidP="00D35E14">
      <w:pPr>
        <w:spacing w:after="0" w:line="240" w:lineRule="auto"/>
        <w:rPr>
          <w:rFonts w:ascii="Arial" w:eastAsia="Calibri" w:hAnsi="Arial" w:cs="Arial"/>
        </w:rPr>
      </w:pPr>
    </w:p>
    <w:p w:rsidR="00BA58F4" w:rsidRPr="00BA58F4" w:rsidRDefault="00BA58F4" w:rsidP="00D35E14">
      <w:pPr>
        <w:pStyle w:val="NoSpacing"/>
        <w:rPr>
          <w:rFonts w:ascii="Arial" w:hAnsi="Arial" w:cs="Arial"/>
          <w:b/>
        </w:rPr>
      </w:pPr>
      <w:r w:rsidRPr="00BA58F4">
        <w:rPr>
          <w:rFonts w:ascii="Arial" w:hAnsi="Arial" w:cs="Arial"/>
          <w:b/>
        </w:rPr>
        <w:t xml:space="preserve">Format of Report </w:t>
      </w:r>
    </w:p>
    <w:p w:rsidR="00BA58F4" w:rsidRDefault="00BA58F4" w:rsidP="00D35E14">
      <w:pPr>
        <w:pStyle w:val="NoSpacing"/>
        <w:rPr>
          <w:rFonts w:ascii="Arial" w:hAnsi="Arial" w:cs="Arial"/>
        </w:rPr>
      </w:pPr>
    </w:p>
    <w:p w:rsidR="00363282" w:rsidRDefault="000B3F96" w:rsidP="00363282">
      <w:pPr>
        <w:pStyle w:val="NoSpacing"/>
        <w:rPr>
          <w:rFonts w:ascii="Arial" w:hAnsi="Arial" w:cs="Arial"/>
        </w:rPr>
      </w:pPr>
      <w:r w:rsidRPr="00D35E14">
        <w:rPr>
          <w:rFonts w:ascii="Arial" w:hAnsi="Arial" w:cs="Arial"/>
        </w:rPr>
        <w:t>The information on potential savings is set out separately for each option</w:t>
      </w:r>
      <w:r w:rsidR="00BA58F4">
        <w:rPr>
          <w:rFonts w:ascii="Arial" w:hAnsi="Arial" w:cs="Arial"/>
        </w:rPr>
        <w:t xml:space="preserve"> (excepting option 1)</w:t>
      </w:r>
      <w:r w:rsidRPr="00D35E14">
        <w:rPr>
          <w:rFonts w:ascii="Arial" w:hAnsi="Arial" w:cs="Arial"/>
        </w:rPr>
        <w:t>. Each option outlines;</w:t>
      </w:r>
    </w:p>
    <w:p w:rsidR="000B3F96" w:rsidRDefault="000B3F96" w:rsidP="00363282"/>
    <w:p w:rsidR="000B3F96" w:rsidRDefault="000B3F96" w:rsidP="000B3F96">
      <w:pPr>
        <w:pStyle w:val="ListParagraph"/>
        <w:numPr>
          <w:ilvl w:val="0"/>
          <w:numId w:val="3"/>
        </w:numPr>
        <w:jc w:val="left"/>
      </w:pPr>
      <w:r>
        <w:t xml:space="preserve">The methodology </w:t>
      </w:r>
      <w:r w:rsidR="00102944">
        <w:t xml:space="preserve">and basis of preparation </w:t>
      </w:r>
      <w:r>
        <w:t>used to arrive at the savings</w:t>
      </w:r>
    </w:p>
    <w:p w:rsidR="000B3F96" w:rsidRDefault="000B3F96" w:rsidP="000B3F96">
      <w:pPr>
        <w:pStyle w:val="ListParagraph"/>
        <w:numPr>
          <w:ilvl w:val="0"/>
          <w:numId w:val="3"/>
        </w:numPr>
        <w:jc w:val="left"/>
      </w:pPr>
      <w:r>
        <w:t>The assumptions made to arrive at the savings</w:t>
      </w:r>
    </w:p>
    <w:p w:rsidR="00363282" w:rsidRDefault="00363282" w:rsidP="00363282">
      <w:pPr>
        <w:pStyle w:val="ListParagraph"/>
        <w:numPr>
          <w:ilvl w:val="0"/>
          <w:numId w:val="3"/>
        </w:numPr>
        <w:jc w:val="left"/>
      </w:pPr>
      <w:r>
        <w:t>The summary table of potential savings for transition years 1-3 and from year 4 onwards</w:t>
      </w:r>
    </w:p>
    <w:p w:rsidR="00102944" w:rsidRDefault="00102944" w:rsidP="00363282">
      <w:pPr>
        <w:pStyle w:val="ListParagraph"/>
        <w:numPr>
          <w:ilvl w:val="0"/>
          <w:numId w:val="3"/>
        </w:numPr>
        <w:jc w:val="left"/>
      </w:pPr>
      <w:r>
        <w:t>Commentary on the savings</w:t>
      </w:r>
    </w:p>
    <w:p w:rsidR="00363282" w:rsidRDefault="00363282" w:rsidP="00363282">
      <w:pPr>
        <w:pStyle w:val="ListParagraph"/>
        <w:jc w:val="left"/>
      </w:pPr>
    </w:p>
    <w:p w:rsidR="000B3F96" w:rsidRDefault="000B3F96" w:rsidP="000B3F96"/>
    <w:p w:rsidR="000B3F96" w:rsidRDefault="000B3F96" w:rsidP="000B3F96"/>
    <w:p w:rsidR="000B3F96" w:rsidRDefault="000B3F96" w:rsidP="000B3F96"/>
    <w:p w:rsidR="000B3F96" w:rsidRDefault="000B3F96" w:rsidP="000B3F96">
      <w:pPr>
        <w:pStyle w:val="NoSpacing"/>
      </w:pPr>
    </w:p>
    <w:p w:rsidR="00363282" w:rsidRDefault="00363282" w:rsidP="000B3F96">
      <w:pPr>
        <w:pStyle w:val="NoSpacing"/>
      </w:pPr>
    </w:p>
    <w:p w:rsidR="00363282" w:rsidRDefault="00363282" w:rsidP="000B3F96">
      <w:pPr>
        <w:pStyle w:val="NoSpacing"/>
      </w:pPr>
    </w:p>
    <w:p w:rsidR="00363282" w:rsidRDefault="00363282" w:rsidP="000B3F96">
      <w:pPr>
        <w:pStyle w:val="NoSpacing"/>
      </w:pPr>
    </w:p>
    <w:p w:rsidR="00363282" w:rsidRDefault="00363282" w:rsidP="000B3F96">
      <w:pPr>
        <w:pStyle w:val="NoSpacing"/>
      </w:pPr>
    </w:p>
    <w:p w:rsidR="00363282" w:rsidRDefault="00363282" w:rsidP="000B3F96">
      <w:pPr>
        <w:pStyle w:val="NoSpacing"/>
      </w:pPr>
    </w:p>
    <w:p w:rsidR="00102944" w:rsidRDefault="00102944" w:rsidP="000B3F96">
      <w:pPr>
        <w:pStyle w:val="NoSpacing"/>
      </w:pPr>
    </w:p>
    <w:p w:rsidR="00363282" w:rsidRPr="00363282" w:rsidRDefault="00363282" w:rsidP="000B3F96">
      <w:pPr>
        <w:pStyle w:val="NoSpacing"/>
        <w:rPr>
          <w:b/>
        </w:rPr>
      </w:pPr>
    </w:p>
    <w:p w:rsidR="00363282" w:rsidRPr="00363282" w:rsidRDefault="00363282" w:rsidP="00363282">
      <w:pPr>
        <w:pStyle w:val="NoSpacing"/>
        <w:rPr>
          <w:rFonts w:ascii="Arial" w:hAnsi="Arial" w:cs="Arial"/>
          <w:b/>
        </w:rPr>
      </w:pPr>
      <w:r w:rsidRPr="00363282">
        <w:rPr>
          <w:rFonts w:ascii="Arial" w:hAnsi="Arial" w:cs="Arial"/>
          <w:b/>
        </w:rPr>
        <w:lastRenderedPageBreak/>
        <w:t>Analysis of</w:t>
      </w:r>
      <w:r w:rsidR="0065222E">
        <w:rPr>
          <w:rFonts w:ascii="Arial" w:hAnsi="Arial" w:cs="Arial"/>
          <w:b/>
        </w:rPr>
        <w:t xml:space="preserve"> Cost Savings under O</w:t>
      </w:r>
      <w:r w:rsidRPr="00363282">
        <w:rPr>
          <w:rFonts w:ascii="Arial" w:hAnsi="Arial" w:cs="Arial"/>
          <w:b/>
        </w:rPr>
        <w:t>ption 2</w:t>
      </w:r>
      <w:r w:rsidR="0026267F">
        <w:rPr>
          <w:rFonts w:ascii="Arial" w:hAnsi="Arial" w:cs="Arial"/>
          <w:b/>
        </w:rPr>
        <w:t xml:space="preserve"> – Enhanced Local Efficiency</w:t>
      </w:r>
    </w:p>
    <w:p w:rsidR="00363282" w:rsidRDefault="00363282" w:rsidP="00363282">
      <w:pPr>
        <w:pStyle w:val="NoSpacing"/>
        <w:rPr>
          <w:rFonts w:ascii="Arial" w:hAnsi="Arial" w:cs="Arial"/>
        </w:rPr>
      </w:pPr>
    </w:p>
    <w:p w:rsidR="0026267F" w:rsidRDefault="0026267F" w:rsidP="00363282">
      <w:pPr>
        <w:pStyle w:val="NoSpacing"/>
        <w:rPr>
          <w:rFonts w:ascii="Arial" w:hAnsi="Arial" w:cs="Arial"/>
        </w:rPr>
      </w:pPr>
    </w:p>
    <w:tbl>
      <w:tblPr>
        <w:tblStyle w:val="TableGrid"/>
        <w:tblW w:w="0" w:type="auto"/>
        <w:tblLook w:val="04A0" w:firstRow="1" w:lastRow="0" w:firstColumn="1" w:lastColumn="0" w:noHBand="0" w:noVBand="1"/>
      </w:tblPr>
      <w:tblGrid>
        <w:gridCol w:w="10456"/>
      </w:tblGrid>
      <w:tr w:rsidR="0026267F" w:rsidTr="0026267F">
        <w:tc>
          <w:tcPr>
            <w:tcW w:w="10456" w:type="dxa"/>
          </w:tcPr>
          <w:p w:rsidR="0026267F" w:rsidRPr="000B3F96" w:rsidRDefault="0026267F" w:rsidP="0026267F">
            <w:pPr>
              <w:pStyle w:val="NoSpacing"/>
              <w:rPr>
                <w:rFonts w:ascii="Arial" w:hAnsi="Arial" w:cs="Arial"/>
              </w:rPr>
            </w:pPr>
            <w:r w:rsidRPr="000B3F96">
              <w:rPr>
                <w:rFonts w:ascii="Arial" w:hAnsi="Arial" w:cs="Arial"/>
              </w:rPr>
              <w:t xml:space="preserve">This </w:t>
            </w:r>
            <w:r>
              <w:rPr>
                <w:rFonts w:ascii="Arial" w:hAnsi="Arial" w:cs="Arial"/>
              </w:rPr>
              <w:t xml:space="preserve">option is </w:t>
            </w:r>
            <w:r w:rsidRPr="000B3F96">
              <w:rPr>
                <w:rFonts w:ascii="Arial" w:hAnsi="Arial" w:cs="Arial"/>
              </w:rPr>
              <w:t>split into three component options;</w:t>
            </w:r>
          </w:p>
          <w:p w:rsidR="0026267F" w:rsidRPr="000B3F96" w:rsidRDefault="0026267F" w:rsidP="0026267F">
            <w:pPr>
              <w:pStyle w:val="NoSpacing"/>
              <w:rPr>
                <w:rFonts w:ascii="Arial" w:hAnsi="Arial" w:cs="Arial"/>
              </w:rPr>
            </w:pPr>
          </w:p>
          <w:p w:rsidR="0026267F" w:rsidRPr="000B3F96" w:rsidRDefault="0026267F" w:rsidP="0026267F">
            <w:pPr>
              <w:pStyle w:val="NoSpacing"/>
              <w:numPr>
                <w:ilvl w:val="0"/>
                <w:numId w:val="8"/>
              </w:numPr>
              <w:rPr>
                <w:rFonts w:ascii="Arial" w:hAnsi="Arial" w:cs="Arial"/>
              </w:rPr>
            </w:pPr>
            <w:r w:rsidRPr="000B3F96">
              <w:rPr>
                <w:rFonts w:ascii="Arial" w:hAnsi="Arial" w:cs="Arial"/>
              </w:rPr>
              <w:t>One Wairarapa Council – comprising of the existing Masterton, Carterton and South Wairarapa Districts (option 2.1)</w:t>
            </w:r>
          </w:p>
          <w:p w:rsidR="0026267F" w:rsidRPr="000B3F96" w:rsidRDefault="0026267F" w:rsidP="0026267F">
            <w:pPr>
              <w:pStyle w:val="NoSpacing"/>
              <w:rPr>
                <w:rFonts w:ascii="Arial" w:hAnsi="Arial" w:cs="Arial"/>
              </w:rPr>
            </w:pPr>
          </w:p>
          <w:p w:rsidR="0026267F" w:rsidRPr="000B3F96" w:rsidRDefault="0026267F" w:rsidP="0026267F">
            <w:pPr>
              <w:pStyle w:val="NoSpacing"/>
              <w:numPr>
                <w:ilvl w:val="0"/>
                <w:numId w:val="8"/>
              </w:numPr>
              <w:rPr>
                <w:rFonts w:ascii="Arial" w:hAnsi="Arial" w:cs="Arial"/>
              </w:rPr>
            </w:pPr>
            <w:r w:rsidRPr="000B3F96">
              <w:rPr>
                <w:rFonts w:ascii="Arial" w:hAnsi="Arial" w:cs="Arial"/>
              </w:rPr>
              <w:t>One Hutt Council – comprising of the existing Hutt and Upper Hutt Cities (option 2.2)</w:t>
            </w:r>
          </w:p>
          <w:p w:rsidR="0026267F" w:rsidRPr="000B3F96" w:rsidRDefault="0026267F" w:rsidP="0026267F">
            <w:pPr>
              <w:pStyle w:val="NoSpacing"/>
              <w:rPr>
                <w:rFonts w:ascii="Arial" w:hAnsi="Arial" w:cs="Arial"/>
              </w:rPr>
            </w:pPr>
          </w:p>
          <w:p w:rsidR="0026267F" w:rsidRDefault="0026267F" w:rsidP="0026267F">
            <w:pPr>
              <w:pStyle w:val="NoSpacing"/>
              <w:numPr>
                <w:ilvl w:val="0"/>
                <w:numId w:val="8"/>
              </w:numPr>
              <w:rPr>
                <w:rFonts w:ascii="Arial" w:hAnsi="Arial" w:cs="Arial"/>
              </w:rPr>
            </w:pPr>
            <w:r w:rsidRPr="000B3F96">
              <w:rPr>
                <w:rFonts w:ascii="Arial" w:hAnsi="Arial" w:cs="Arial"/>
              </w:rPr>
              <w:t>One Western and North Council – comprising of the existing Kapiti and Porirua and Wellington Cities</w:t>
            </w:r>
            <w:r w:rsidR="004B2682">
              <w:rPr>
                <w:rFonts w:ascii="Arial" w:hAnsi="Arial" w:cs="Arial"/>
              </w:rPr>
              <w:t xml:space="preserve"> </w:t>
            </w:r>
            <w:r w:rsidRPr="000B3F96">
              <w:rPr>
                <w:rFonts w:ascii="Arial" w:hAnsi="Arial" w:cs="Arial"/>
              </w:rPr>
              <w:t>(option 2.3)</w:t>
            </w:r>
          </w:p>
          <w:p w:rsidR="000D562D" w:rsidRDefault="000D562D" w:rsidP="000D562D">
            <w:pPr>
              <w:pStyle w:val="ListParagraph"/>
              <w:rPr>
                <w:rFonts w:cs="Arial"/>
              </w:rPr>
            </w:pPr>
          </w:p>
          <w:p w:rsidR="000D562D" w:rsidRPr="000B3F96" w:rsidRDefault="000D562D" w:rsidP="0026267F">
            <w:pPr>
              <w:pStyle w:val="NoSpacing"/>
              <w:numPr>
                <w:ilvl w:val="0"/>
                <w:numId w:val="8"/>
              </w:numPr>
              <w:rPr>
                <w:rFonts w:ascii="Arial" w:hAnsi="Arial" w:cs="Arial"/>
              </w:rPr>
            </w:pPr>
            <w:r>
              <w:rPr>
                <w:rFonts w:ascii="Arial" w:hAnsi="Arial" w:cs="Arial"/>
              </w:rPr>
              <w:t>There is no change to the Wellington Regional Council under this option</w:t>
            </w:r>
          </w:p>
          <w:p w:rsidR="0026267F" w:rsidRDefault="0026267F" w:rsidP="00363282">
            <w:pPr>
              <w:pStyle w:val="NoSpacing"/>
              <w:rPr>
                <w:rFonts w:ascii="Arial" w:hAnsi="Arial" w:cs="Arial"/>
              </w:rPr>
            </w:pPr>
          </w:p>
        </w:tc>
      </w:tr>
    </w:tbl>
    <w:p w:rsidR="0026267F" w:rsidRDefault="0026267F" w:rsidP="00363282">
      <w:pPr>
        <w:pStyle w:val="NoSpacing"/>
        <w:rPr>
          <w:rFonts w:ascii="Arial" w:hAnsi="Arial" w:cs="Arial"/>
        </w:rPr>
      </w:pPr>
    </w:p>
    <w:p w:rsidR="00363282" w:rsidRDefault="00363282" w:rsidP="00363282">
      <w:pPr>
        <w:pStyle w:val="NoSpacing"/>
        <w:rPr>
          <w:rFonts w:ascii="Arial" w:hAnsi="Arial" w:cs="Arial"/>
        </w:rPr>
      </w:pPr>
    </w:p>
    <w:p w:rsidR="00363282" w:rsidRPr="00363282" w:rsidRDefault="0026267F" w:rsidP="00363282">
      <w:pPr>
        <w:rPr>
          <w:rFonts w:ascii="Arial" w:hAnsi="Arial" w:cs="Arial"/>
          <w:b/>
          <w:i/>
        </w:rPr>
      </w:pPr>
      <w:r>
        <w:rPr>
          <w:rFonts w:ascii="Arial" w:hAnsi="Arial" w:cs="Arial"/>
          <w:b/>
          <w:i/>
        </w:rPr>
        <w:t xml:space="preserve">Options 2.1- 2.3   </w:t>
      </w:r>
      <w:r w:rsidR="00363282">
        <w:rPr>
          <w:rFonts w:ascii="Arial" w:hAnsi="Arial" w:cs="Arial"/>
          <w:b/>
          <w:i/>
        </w:rPr>
        <w:t xml:space="preserve"> </w:t>
      </w:r>
      <w:r w:rsidR="00363282" w:rsidRPr="00363282">
        <w:rPr>
          <w:rFonts w:ascii="Arial" w:hAnsi="Arial" w:cs="Arial"/>
          <w:b/>
          <w:i/>
        </w:rPr>
        <w:t>Assessment methodology</w:t>
      </w:r>
    </w:p>
    <w:p w:rsidR="00363282" w:rsidRDefault="00363282" w:rsidP="00363282">
      <w:pPr>
        <w:pStyle w:val="ListParagraph"/>
        <w:numPr>
          <w:ilvl w:val="0"/>
          <w:numId w:val="9"/>
        </w:numPr>
        <w:jc w:val="left"/>
      </w:pPr>
      <w:r>
        <w:t>We categorised council operations into six aspects – Council activities operational expenditure (opex), Council activities capital expenditure (capex), corporate and internal support personnel costs, other non-personnel corporate costs, governance costs (elected members and CEO remuneration) and Audit costs.</w:t>
      </w:r>
    </w:p>
    <w:p w:rsidR="00363282" w:rsidRDefault="00363282" w:rsidP="00363282">
      <w:pPr>
        <w:pStyle w:val="ListParagraph"/>
        <w:jc w:val="left"/>
      </w:pPr>
    </w:p>
    <w:p w:rsidR="00363282" w:rsidRDefault="00363282" w:rsidP="00363282">
      <w:pPr>
        <w:pStyle w:val="ListParagraph"/>
        <w:numPr>
          <w:ilvl w:val="0"/>
          <w:numId w:val="9"/>
        </w:numPr>
        <w:jc w:val="left"/>
      </w:pPr>
      <w:r>
        <w:t>The Council activities, both opex and capex, were further categorised into;</w:t>
      </w:r>
    </w:p>
    <w:p w:rsidR="00363282" w:rsidRDefault="00363282" w:rsidP="00363282"/>
    <w:p w:rsidR="00363282" w:rsidRDefault="00363282" w:rsidP="00363282">
      <w:pPr>
        <w:pStyle w:val="ListParagraph"/>
        <w:numPr>
          <w:ilvl w:val="0"/>
          <w:numId w:val="10"/>
        </w:numPr>
        <w:jc w:val="left"/>
      </w:pPr>
      <w:r>
        <w:t>Regulatory</w:t>
      </w:r>
    </w:p>
    <w:p w:rsidR="00363282" w:rsidRDefault="00363282" w:rsidP="00363282">
      <w:pPr>
        <w:pStyle w:val="ListParagraph"/>
        <w:numPr>
          <w:ilvl w:val="0"/>
          <w:numId w:val="10"/>
        </w:numPr>
        <w:jc w:val="left"/>
      </w:pPr>
      <w:r>
        <w:t>Water, Wastewater and Stormwater (three waters)</w:t>
      </w:r>
    </w:p>
    <w:p w:rsidR="00363282" w:rsidRDefault="00363282" w:rsidP="00363282">
      <w:pPr>
        <w:pStyle w:val="ListParagraph"/>
        <w:numPr>
          <w:ilvl w:val="0"/>
          <w:numId w:val="10"/>
        </w:numPr>
        <w:jc w:val="left"/>
      </w:pPr>
      <w:r>
        <w:t>Roading</w:t>
      </w:r>
    </w:p>
    <w:p w:rsidR="00363282" w:rsidRDefault="00363282" w:rsidP="00363282">
      <w:pPr>
        <w:pStyle w:val="ListParagraph"/>
        <w:numPr>
          <w:ilvl w:val="0"/>
          <w:numId w:val="10"/>
        </w:numPr>
        <w:jc w:val="left"/>
      </w:pPr>
      <w:r>
        <w:t>Solid Waste</w:t>
      </w:r>
    </w:p>
    <w:p w:rsidR="00363282" w:rsidRDefault="00363282" w:rsidP="00363282">
      <w:pPr>
        <w:pStyle w:val="ListParagraph"/>
        <w:numPr>
          <w:ilvl w:val="0"/>
          <w:numId w:val="10"/>
        </w:numPr>
        <w:jc w:val="left"/>
      </w:pPr>
      <w:r>
        <w:t>Property services (where separately identifiable)</w:t>
      </w:r>
    </w:p>
    <w:p w:rsidR="00363282" w:rsidRDefault="00363282" w:rsidP="00363282">
      <w:pPr>
        <w:pStyle w:val="ListParagraph"/>
        <w:numPr>
          <w:ilvl w:val="0"/>
          <w:numId w:val="10"/>
        </w:numPr>
        <w:jc w:val="left"/>
      </w:pPr>
      <w:r>
        <w:t>Harbour and Coastal</w:t>
      </w:r>
    </w:p>
    <w:p w:rsidR="00363282" w:rsidRDefault="00363282" w:rsidP="00363282">
      <w:pPr>
        <w:pStyle w:val="ListParagraph"/>
        <w:numPr>
          <w:ilvl w:val="0"/>
          <w:numId w:val="10"/>
        </w:numPr>
        <w:jc w:val="left"/>
      </w:pPr>
      <w:r>
        <w:t>Economic Development and promotions</w:t>
      </w:r>
    </w:p>
    <w:p w:rsidR="00363282" w:rsidRDefault="00363282" w:rsidP="00363282">
      <w:pPr>
        <w:pStyle w:val="ListParagraph"/>
        <w:numPr>
          <w:ilvl w:val="0"/>
          <w:numId w:val="10"/>
        </w:numPr>
        <w:jc w:val="left"/>
      </w:pPr>
      <w:r>
        <w:t>Other activities, which mainly comprised parks and open spaces, community facilities etc</w:t>
      </w:r>
    </w:p>
    <w:p w:rsidR="00363282" w:rsidRDefault="00363282" w:rsidP="00363282">
      <w:pPr>
        <w:pStyle w:val="ListParagraph"/>
        <w:ind w:left="1440"/>
        <w:jc w:val="left"/>
      </w:pPr>
    </w:p>
    <w:p w:rsidR="00363282" w:rsidRDefault="00363282" w:rsidP="00363282">
      <w:pPr>
        <w:pStyle w:val="ListParagraph"/>
        <w:numPr>
          <w:ilvl w:val="0"/>
          <w:numId w:val="11"/>
        </w:numPr>
        <w:jc w:val="left"/>
      </w:pPr>
      <w:r>
        <w:t>To arrive at an appropriate expenditure base for activities, we used Council LTPs for the 2012-22 period. For each activity opex we;</w:t>
      </w:r>
    </w:p>
    <w:p w:rsidR="00363282" w:rsidRDefault="00363282" w:rsidP="00363282">
      <w:pPr>
        <w:pStyle w:val="ListParagraph"/>
        <w:jc w:val="left"/>
      </w:pPr>
    </w:p>
    <w:p w:rsidR="00363282" w:rsidRDefault="00363282" w:rsidP="00363282">
      <w:pPr>
        <w:pStyle w:val="ListParagraph"/>
        <w:numPr>
          <w:ilvl w:val="0"/>
          <w:numId w:val="12"/>
        </w:numPr>
        <w:jc w:val="left"/>
      </w:pPr>
      <w:r>
        <w:t>Summed the 10 year payments to staff and suppliers as recorded in the forecast Funding Impact Statements. These payments exclude finance costs, depreciation and internal charges. The rationale for excluding finance costs and depreciation expenses is that these costs will be largely unaffected (at least for the foreseeable future) by any reorganisation proposal. Internal charges are analysed separately.</w:t>
      </w:r>
    </w:p>
    <w:p w:rsidR="00363282" w:rsidRDefault="00363282" w:rsidP="00363282">
      <w:pPr>
        <w:pStyle w:val="ListParagraph"/>
        <w:numPr>
          <w:ilvl w:val="0"/>
          <w:numId w:val="12"/>
        </w:numPr>
        <w:jc w:val="left"/>
      </w:pPr>
      <w:r>
        <w:t>Averaged the summation (total cost divided by 10 years)</w:t>
      </w:r>
    </w:p>
    <w:p w:rsidR="00363282" w:rsidRDefault="00363282" w:rsidP="00363282">
      <w:pPr>
        <w:pStyle w:val="ListParagraph"/>
        <w:numPr>
          <w:ilvl w:val="0"/>
          <w:numId w:val="12"/>
        </w:numPr>
        <w:jc w:val="left"/>
      </w:pPr>
      <w:r>
        <w:t>Discounted the average back to 2014 dollars using a 3% discount factor (reflecting the approximate inflation used in LTP preparation).</w:t>
      </w:r>
    </w:p>
    <w:p w:rsidR="00363282" w:rsidRDefault="00363282" w:rsidP="00363282">
      <w:pPr>
        <w:pStyle w:val="ListParagraph"/>
        <w:ind w:left="1505"/>
        <w:jc w:val="left"/>
      </w:pPr>
    </w:p>
    <w:p w:rsidR="00363282" w:rsidRDefault="00363282" w:rsidP="00363282">
      <w:pPr>
        <w:pStyle w:val="ListParagraph"/>
        <w:numPr>
          <w:ilvl w:val="0"/>
          <w:numId w:val="11"/>
        </w:numPr>
        <w:jc w:val="left"/>
      </w:pPr>
      <w:r>
        <w:t>A similar methodology was applied to activities capex, but the source of information was the payments for purchase of plant, property and equipment (i.e. physical assets) from the forecast Statement of cash Flows in the Council LTPs</w:t>
      </w:r>
    </w:p>
    <w:p w:rsidR="00363282" w:rsidRDefault="00363282" w:rsidP="00363282">
      <w:pPr>
        <w:pStyle w:val="ListParagraph"/>
      </w:pPr>
    </w:p>
    <w:p w:rsidR="00363282" w:rsidRDefault="00363282" w:rsidP="00363282">
      <w:pPr>
        <w:pStyle w:val="ListParagraph"/>
        <w:numPr>
          <w:ilvl w:val="0"/>
          <w:numId w:val="11"/>
        </w:numPr>
        <w:jc w:val="left"/>
      </w:pPr>
      <w:r>
        <w:t>The rationale for using LTP forecast figures for activities, and averaging process, is that it overcomes the lumpiness that might occur if only one or two years were taken. The forecast figures were seen as a more appropriate base rather than historical figures, as these represent the councils’ intentions in the next 10 years.</w:t>
      </w:r>
    </w:p>
    <w:p w:rsidR="0026267F" w:rsidRDefault="0026267F" w:rsidP="0065222E"/>
    <w:p w:rsidR="0026267F" w:rsidRDefault="0026267F" w:rsidP="0026267F">
      <w:pPr>
        <w:pStyle w:val="ListParagraph"/>
      </w:pPr>
    </w:p>
    <w:p w:rsidR="00363282" w:rsidRDefault="00363282" w:rsidP="00363282">
      <w:pPr>
        <w:pStyle w:val="ListParagraph"/>
        <w:numPr>
          <w:ilvl w:val="0"/>
          <w:numId w:val="11"/>
        </w:numPr>
        <w:jc w:val="left"/>
      </w:pPr>
      <w:r>
        <w:t>Corporate personnel costs represents the payroll costs of support and internal services functions within councils. This information was supplied by each council to the Commission in April 2014. The information supplied was the budget figures for the 2013-14 financial year and also included the Full Time Equivalent (FTE) staff numbers as at 30 June 2013.</w:t>
      </w:r>
    </w:p>
    <w:p w:rsidR="00363282" w:rsidRDefault="00363282" w:rsidP="00363282"/>
    <w:p w:rsidR="00363282" w:rsidRDefault="00363282" w:rsidP="00363282">
      <w:pPr>
        <w:pStyle w:val="ListParagraph"/>
        <w:numPr>
          <w:ilvl w:val="0"/>
          <w:numId w:val="11"/>
        </w:numPr>
        <w:jc w:val="left"/>
      </w:pPr>
      <w:r>
        <w:t>Corporate costs other than personnel costs were sourced from LTP Funding Impact Statements – payments for internal charges. From this figure the corporate personnel costs were deducted.</w:t>
      </w:r>
    </w:p>
    <w:p w:rsidR="00363282" w:rsidRDefault="00363282" w:rsidP="00363282"/>
    <w:p w:rsidR="00363282" w:rsidRDefault="00363282" w:rsidP="00363282">
      <w:pPr>
        <w:pStyle w:val="ListParagraph"/>
        <w:numPr>
          <w:ilvl w:val="0"/>
          <w:numId w:val="11"/>
        </w:numPr>
        <w:jc w:val="left"/>
      </w:pPr>
      <w:r>
        <w:t>Governance costs represent the elected members, mayoral and CEO remuneration as identified in the 2012-13 annual reports of each council</w:t>
      </w:r>
    </w:p>
    <w:p w:rsidR="00363282" w:rsidRDefault="00363282" w:rsidP="00363282"/>
    <w:p w:rsidR="00363282" w:rsidRDefault="00363282" w:rsidP="00363282">
      <w:pPr>
        <w:pStyle w:val="ListParagraph"/>
        <w:numPr>
          <w:ilvl w:val="0"/>
          <w:numId w:val="11"/>
        </w:numPr>
        <w:jc w:val="left"/>
      </w:pPr>
      <w:r>
        <w:t>Audit costs represent the costs of the annual audit of each council and a proportion of the costs of auditing the LTPs (prepared triennially). The costs were sourced from Council annual reports for 2012-13.</w:t>
      </w:r>
    </w:p>
    <w:p w:rsidR="00363282" w:rsidRDefault="00363282" w:rsidP="00363282"/>
    <w:p w:rsidR="00363282" w:rsidRPr="0026267F" w:rsidRDefault="00363282" w:rsidP="0026267F">
      <w:pPr>
        <w:pStyle w:val="NoSpacing"/>
        <w:rPr>
          <w:rFonts w:ascii="Arial" w:hAnsi="Arial" w:cs="Arial"/>
          <w:b/>
          <w:i/>
        </w:rPr>
      </w:pPr>
      <w:r w:rsidRPr="0026267F">
        <w:rPr>
          <w:rFonts w:ascii="Arial" w:hAnsi="Arial" w:cs="Arial"/>
          <w:b/>
          <w:i/>
        </w:rPr>
        <w:t>Option</w:t>
      </w:r>
      <w:r w:rsidR="0026267F">
        <w:rPr>
          <w:rFonts w:ascii="Arial" w:hAnsi="Arial" w:cs="Arial"/>
          <w:b/>
          <w:i/>
        </w:rPr>
        <w:t xml:space="preserve">s </w:t>
      </w:r>
      <w:r w:rsidRPr="0026267F">
        <w:rPr>
          <w:rFonts w:ascii="Arial" w:hAnsi="Arial" w:cs="Arial"/>
          <w:b/>
          <w:i/>
        </w:rPr>
        <w:t>2</w:t>
      </w:r>
      <w:r w:rsidR="0026267F">
        <w:rPr>
          <w:rFonts w:ascii="Arial" w:hAnsi="Arial" w:cs="Arial"/>
          <w:b/>
          <w:i/>
        </w:rPr>
        <w:t xml:space="preserve">.1-2.3   </w:t>
      </w:r>
      <w:r w:rsidRPr="0026267F">
        <w:rPr>
          <w:rFonts w:ascii="Arial" w:hAnsi="Arial" w:cs="Arial"/>
          <w:b/>
          <w:i/>
        </w:rPr>
        <w:t>Assumptions underpinning Savings Assessments</w:t>
      </w:r>
    </w:p>
    <w:p w:rsidR="00363282" w:rsidRDefault="00363282" w:rsidP="00363282">
      <w:pPr>
        <w:pStyle w:val="NoSpacing"/>
        <w:rPr>
          <w:rFonts w:ascii="Arial" w:hAnsi="Arial" w:cs="Arial"/>
          <w:b/>
        </w:rPr>
      </w:pPr>
    </w:p>
    <w:p w:rsidR="00363282" w:rsidRDefault="00363282" w:rsidP="00363282">
      <w:pPr>
        <w:pStyle w:val="NoSpacing"/>
        <w:numPr>
          <w:ilvl w:val="0"/>
          <w:numId w:val="14"/>
        </w:numPr>
        <w:rPr>
          <w:rFonts w:ascii="Arial" w:hAnsi="Arial" w:cs="Arial"/>
          <w:i/>
        </w:rPr>
      </w:pPr>
      <w:r>
        <w:rPr>
          <w:rFonts w:ascii="Arial" w:hAnsi="Arial" w:cs="Arial"/>
          <w:i/>
        </w:rPr>
        <w:t>Assumptions on</w:t>
      </w:r>
      <w:r w:rsidRPr="00396F34">
        <w:rPr>
          <w:rFonts w:ascii="Arial" w:hAnsi="Arial" w:cs="Arial"/>
          <w:i/>
        </w:rPr>
        <w:t xml:space="preserve"> Activity Opex</w:t>
      </w:r>
    </w:p>
    <w:p w:rsidR="00102944" w:rsidRDefault="00102944" w:rsidP="00102944">
      <w:pPr>
        <w:pStyle w:val="NoSpacing"/>
        <w:ind w:left="720"/>
        <w:rPr>
          <w:rFonts w:ascii="Arial" w:hAnsi="Arial" w:cs="Arial"/>
          <w:i/>
        </w:rPr>
      </w:pPr>
    </w:p>
    <w:p w:rsidR="00363282" w:rsidRDefault="00102944" w:rsidP="00363282">
      <w:pPr>
        <w:pStyle w:val="NoSpacing"/>
        <w:rPr>
          <w:rFonts w:ascii="Arial" w:hAnsi="Arial" w:cs="Arial"/>
          <w:i/>
        </w:rPr>
      </w:pPr>
      <w:r>
        <w:rPr>
          <w:rFonts w:ascii="Arial" w:hAnsi="Arial" w:cs="Arial"/>
          <w:i/>
        </w:rPr>
        <w:t>Table 1 – Option 2.1-2.3</w:t>
      </w:r>
      <w:r w:rsidR="0065222E">
        <w:rPr>
          <w:rFonts w:ascii="Arial" w:hAnsi="Arial" w:cs="Arial"/>
          <w:i/>
        </w:rPr>
        <w:t xml:space="preserve">   </w:t>
      </w:r>
      <w:r>
        <w:rPr>
          <w:rFonts w:ascii="Arial" w:hAnsi="Arial" w:cs="Arial"/>
          <w:i/>
        </w:rPr>
        <w:t xml:space="preserve"> Assumptions on Activity opex savings</w:t>
      </w:r>
    </w:p>
    <w:p w:rsidR="00102944" w:rsidRDefault="00102944" w:rsidP="00363282">
      <w:pPr>
        <w:pStyle w:val="NoSpacing"/>
        <w:rPr>
          <w:rFonts w:ascii="Arial" w:hAnsi="Arial" w:cs="Arial"/>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8"/>
        <w:gridCol w:w="7970"/>
      </w:tblGrid>
      <w:tr w:rsidR="00363282" w:rsidRPr="004E3511" w:rsidTr="008045E6">
        <w:tc>
          <w:tcPr>
            <w:tcW w:w="2628" w:type="dxa"/>
          </w:tcPr>
          <w:p w:rsidR="00363282" w:rsidRPr="004E3511" w:rsidRDefault="00363282" w:rsidP="008045E6">
            <w:pPr>
              <w:pStyle w:val="NoSpacing"/>
              <w:rPr>
                <w:rFonts w:ascii="Arial" w:hAnsi="Arial" w:cs="Arial"/>
              </w:rPr>
            </w:pPr>
            <w:r w:rsidRPr="004E3511">
              <w:rPr>
                <w:rFonts w:ascii="Arial" w:hAnsi="Arial" w:cs="Arial"/>
              </w:rPr>
              <w:t>Regulatory</w:t>
            </w:r>
          </w:p>
          <w:p w:rsidR="00363282" w:rsidRPr="004E3511" w:rsidRDefault="00363282" w:rsidP="008045E6">
            <w:pPr>
              <w:pStyle w:val="NoSpacing"/>
              <w:rPr>
                <w:rFonts w:ascii="Arial" w:hAnsi="Arial" w:cs="Arial"/>
              </w:rPr>
            </w:pPr>
          </w:p>
        </w:tc>
        <w:tc>
          <w:tcPr>
            <w:tcW w:w="7970" w:type="dxa"/>
          </w:tcPr>
          <w:p w:rsidR="00363282" w:rsidRDefault="00363282" w:rsidP="008045E6">
            <w:pPr>
              <w:pStyle w:val="NoSpacing"/>
              <w:rPr>
                <w:rFonts w:ascii="Arial" w:hAnsi="Arial" w:cs="Arial"/>
              </w:rPr>
            </w:pPr>
            <w:r>
              <w:rPr>
                <w:rFonts w:ascii="Arial" w:hAnsi="Arial" w:cs="Arial"/>
              </w:rPr>
              <w:t>Graduated s</w:t>
            </w:r>
            <w:r w:rsidRPr="004E3511">
              <w:rPr>
                <w:rFonts w:ascii="Arial" w:hAnsi="Arial" w:cs="Arial"/>
              </w:rPr>
              <w:t xml:space="preserve">avings </w:t>
            </w:r>
            <w:r>
              <w:rPr>
                <w:rFonts w:ascii="Arial" w:hAnsi="Arial" w:cs="Arial"/>
              </w:rPr>
              <w:t xml:space="preserve">on base regulatory expenditure of 5% by year 4 </w:t>
            </w:r>
            <w:r w:rsidRPr="004E3511">
              <w:rPr>
                <w:rFonts w:ascii="Arial" w:hAnsi="Arial" w:cs="Arial"/>
              </w:rPr>
              <w:t>will result from one District Plan and centralised RMA administration</w:t>
            </w:r>
            <w:r>
              <w:rPr>
                <w:rFonts w:ascii="Arial" w:hAnsi="Arial" w:cs="Arial"/>
              </w:rPr>
              <w:t>.</w:t>
            </w:r>
          </w:p>
          <w:p w:rsidR="0026267F" w:rsidRPr="004E3511" w:rsidRDefault="0026267F" w:rsidP="008045E6">
            <w:pPr>
              <w:pStyle w:val="NoSpacing"/>
              <w:rPr>
                <w:rFonts w:ascii="Arial" w:hAnsi="Arial" w:cs="Arial"/>
              </w:rPr>
            </w:pPr>
          </w:p>
        </w:tc>
      </w:tr>
      <w:tr w:rsidR="00363282" w:rsidRPr="004E3511" w:rsidTr="008045E6">
        <w:tc>
          <w:tcPr>
            <w:tcW w:w="2628" w:type="dxa"/>
          </w:tcPr>
          <w:p w:rsidR="00363282" w:rsidRPr="004E3511" w:rsidRDefault="00363282" w:rsidP="008045E6">
            <w:pPr>
              <w:pStyle w:val="NoSpacing"/>
              <w:rPr>
                <w:rFonts w:ascii="Arial" w:hAnsi="Arial" w:cs="Arial"/>
              </w:rPr>
            </w:pPr>
            <w:r w:rsidRPr="004E3511">
              <w:rPr>
                <w:rFonts w:ascii="Arial" w:hAnsi="Arial" w:cs="Arial"/>
              </w:rPr>
              <w:t>Community Facilities</w:t>
            </w:r>
            <w:r w:rsidRPr="004E3511">
              <w:rPr>
                <w:rStyle w:val="FootnoteReference"/>
                <w:rFonts w:ascii="Arial" w:hAnsi="Arial" w:cs="Arial"/>
              </w:rPr>
              <w:footnoteReference w:id="1"/>
            </w:r>
          </w:p>
          <w:p w:rsidR="00363282" w:rsidRPr="004E3511" w:rsidRDefault="00363282" w:rsidP="008045E6">
            <w:pPr>
              <w:pStyle w:val="NoSpacing"/>
              <w:rPr>
                <w:rFonts w:ascii="Arial" w:hAnsi="Arial" w:cs="Arial"/>
              </w:rPr>
            </w:pPr>
          </w:p>
        </w:tc>
        <w:tc>
          <w:tcPr>
            <w:tcW w:w="7970" w:type="dxa"/>
          </w:tcPr>
          <w:p w:rsidR="00363282" w:rsidRDefault="00363282" w:rsidP="008045E6">
            <w:pPr>
              <w:pStyle w:val="NoSpacing"/>
              <w:rPr>
                <w:rFonts w:ascii="Arial" w:hAnsi="Arial" w:cs="Arial"/>
              </w:rPr>
            </w:pPr>
            <w:r>
              <w:rPr>
                <w:rFonts w:ascii="Arial" w:hAnsi="Arial" w:cs="Arial"/>
              </w:rPr>
              <w:t>Graduated s</w:t>
            </w:r>
            <w:r w:rsidRPr="004E3511">
              <w:rPr>
                <w:rFonts w:ascii="Arial" w:hAnsi="Arial" w:cs="Arial"/>
              </w:rPr>
              <w:t>avings</w:t>
            </w:r>
            <w:r>
              <w:rPr>
                <w:rFonts w:ascii="Arial" w:hAnsi="Arial" w:cs="Arial"/>
              </w:rPr>
              <w:t xml:space="preserve"> of 1% on base expenditure </w:t>
            </w:r>
            <w:r w:rsidRPr="004E3511">
              <w:rPr>
                <w:rFonts w:ascii="Arial" w:hAnsi="Arial" w:cs="Arial"/>
              </w:rPr>
              <w:t xml:space="preserve">will result from streamlined management, economies of scale and rationalised operating and maintenance contracts. </w:t>
            </w:r>
          </w:p>
          <w:p w:rsidR="0026267F" w:rsidRPr="004E3511" w:rsidRDefault="0026267F" w:rsidP="008045E6">
            <w:pPr>
              <w:pStyle w:val="NoSpacing"/>
              <w:rPr>
                <w:rFonts w:ascii="Arial" w:hAnsi="Arial" w:cs="Arial"/>
              </w:rPr>
            </w:pPr>
          </w:p>
        </w:tc>
      </w:tr>
      <w:tr w:rsidR="00363282" w:rsidRPr="004E3511" w:rsidTr="008045E6">
        <w:tc>
          <w:tcPr>
            <w:tcW w:w="2628" w:type="dxa"/>
          </w:tcPr>
          <w:p w:rsidR="00363282" w:rsidRPr="004E3511" w:rsidRDefault="00363282" w:rsidP="008045E6">
            <w:pPr>
              <w:pStyle w:val="NoSpacing"/>
              <w:rPr>
                <w:rFonts w:ascii="Arial" w:hAnsi="Arial" w:cs="Arial"/>
              </w:rPr>
            </w:pPr>
            <w:r w:rsidRPr="004E3511">
              <w:rPr>
                <w:rFonts w:ascii="Arial" w:hAnsi="Arial" w:cs="Arial"/>
              </w:rPr>
              <w:t>Water, Wastewater and Stormwater</w:t>
            </w:r>
          </w:p>
          <w:p w:rsidR="00363282" w:rsidRPr="004E3511" w:rsidRDefault="00363282" w:rsidP="008045E6">
            <w:pPr>
              <w:pStyle w:val="NoSpacing"/>
              <w:rPr>
                <w:rFonts w:ascii="Arial" w:hAnsi="Arial" w:cs="Arial"/>
              </w:rPr>
            </w:pPr>
          </w:p>
        </w:tc>
        <w:tc>
          <w:tcPr>
            <w:tcW w:w="7970" w:type="dxa"/>
          </w:tcPr>
          <w:p w:rsidR="00363282" w:rsidRPr="004E3511" w:rsidRDefault="00363282" w:rsidP="008045E6">
            <w:pPr>
              <w:pStyle w:val="NoSpacing"/>
              <w:rPr>
                <w:rFonts w:ascii="Arial" w:hAnsi="Arial" w:cs="Arial"/>
              </w:rPr>
            </w:pPr>
            <w:r>
              <w:rPr>
                <w:rFonts w:ascii="Arial" w:hAnsi="Arial" w:cs="Arial"/>
              </w:rPr>
              <w:t xml:space="preserve">Graduated savings by year 4 of </w:t>
            </w:r>
            <w:r w:rsidRPr="004E3511">
              <w:rPr>
                <w:rFonts w:ascii="Arial" w:hAnsi="Arial" w:cs="Arial"/>
              </w:rPr>
              <w:t>2%</w:t>
            </w:r>
            <w:r>
              <w:rPr>
                <w:rFonts w:ascii="Arial" w:hAnsi="Arial" w:cs="Arial"/>
              </w:rPr>
              <w:t xml:space="preserve"> of base expenditure</w:t>
            </w:r>
            <w:r w:rsidRPr="004E3511">
              <w:rPr>
                <w:rFonts w:ascii="Arial" w:hAnsi="Arial" w:cs="Arial"/>
              </w:rPr>
              <w:t xml:space="preserve"> will result from;</w:t>
            </w:r>
          </w:p>
          <w:p w:rsidR="00363282" w:rsidRPr="004E3511" w:rsidRDefault="00363282" w:rsidP="00363282">
            <w:pPr>
              <w:pStyle w:val="NoSpacing"/>
              <w:numPr>
                <w:ilvl w:val="0"/>
                <w:numId w:val="13"/>
              </w:numPr>
              <w:rPr>
                <w:rFonts w:ascii="Arial" w:hAnsi="Arial" w:cs="Arial"/>
              </w:rPr>
            </w:pPr>
            <w:r w:rsidRPr="004E3511">
              <w:rPr>
                <w:rFonts w:ascii="Arial" w:hAnsi="Arial" w:cs="Arial"/>
              </w:rPr>
              <w:t>streamlined management</w:t>
            </w:r>
          </w:p>
          <w:p w:rsidR="00363282" w:rsidRPr="004E3511" w:rsidRDefault="00363282" w:rsidP="00363282">
            <w:pPr>
              <w:pStyle w:val="NoSpacing"/>
              <w:numPr>
                <w:ilvl w:val="0"/>
                <w:numId w:val="13"/>
              </w:numPr>
              <w:rPr>
                <w:rFonts w:ascii="Arial" w:hAnsi="Arial" w:cs="Arial"/>
              </w:rPr>
            </w:pPr>
            <w:r w:rsidRPr="004E3511">
              <w:rPr>
                <w:rFonts w:ascii="Arial" w:hAnsi="Arial" w:cs="Arial"/>
              </w:rPr>
              <w:t>economies of scale (especially asset management)</w:t>
            </w:r>
          </w:p>
          <w:p w:rsidR="00363282" w:rsidRDefault="00363282" w:rsidP="00363282">
            <w:pPr>
              <w:pStyle w:val="NoSpacing"/>
              <w:numPr>
                <w:ilvl w:val="0"/>
                <w:numId w:val="13"/>
              </w:numPr>
              <w:rPr>
                <w:rFonts w:ascii="Arial" w:hAnsi="Arial" w:cs="Arial"/>
              </w:rPr>
            </w:pPr>
            <w:r w:rsidRPr="004E3511">
              <w:rPr>
                <w:rFonts w:ascii="Arial" w:hAnsi="Arial" w:cs="Arial"/>
              </w:rPr>
              <w:t xml:space="preserve">rationalised operating and maintenance contracts. </w:t>
            </w:r>
          </w:p>
          <w:p w:rsidR="00363282" w:rsidRPr="004E3511" w:rsidRDefault="00363282" w:rsidP="00363282">
            <w:pPr>
              <w:pStyle w:val="NoSpacing"/>
              <w:numPr>
                <w:ilvl w:val="0"/>
                <w:numId w:val="13"/>
              </w:numPr>
              <w:rPr>
                <w:rFonts w:ascii="Arial" w:hAnsi="Arial" w:cs="Arial"/>
              </w:rPr>
            </w:pPr>
            <w:r>
              <w:rPr>
                <w:rFonts w:ascii="Arial" w:hAnsi="Arial" w:cs="Arial"/>
              </w:rPr>
              <w:t xml:space="preserve">Unified </w:t>
            </w:r>
            <w:r w:rsidR="0026267F">
              <w:rPr>
                <w:rFonts w:ascii="Arial" w:hAnsi="Arial" w:cs="Arial"/>
              </w:rPr>
              <w:t xml:space="preserve">and integrated </w:t>
            </w:r>
            <w:r>
              <w:rPr>
                <w:rFonts w:ascii="Arial" w:hAnsi="Arial" w:cs="Arial"/>
              </w:rPr>
              <w:t>asset management</w:t>
            </w:r>
          </w:p>
          <w:p w:rsidR="00363282" w:rsidRPr="004E3511" w:rsidRDefault="00363282" w:rsidP="008045E6">
            <w:pPr>
              <w:pStyle w:val="NoSpacing"/>
              <w:rPr>
                <w:rFonts w:ascii="Arial" w:hAnsi="Arial" w:cs="Arial"/>
              </w:rPr>
            </w:pPr>
          </w:p>
        </w:tc>
      </w:tr>
      <w:tr w:rsidR="00363282" w:rsidRPr="004E3511" w:rsidTr="008045E6">
        <w:tc>
          <w:tcPr>
            <w:tcW w:w="2628" w:type="dxa"/>
          </w:tcPr>
          <w:p w:rsidR="00363282" w:rsidRPr="004E3511" w:rsidRDefault="00363282" w:rsidP="008045E6">
            <w:pPr>
              <w:pStyle w:val="NoSpacing"/>
              <w:rPr>
                <w:rFonts w:ascii="Arial" w:hAnsi="Arial" w:cs="Arial"/>
              </w:rPr>
            </w:pPr>
            <w:r w:rsidRPr="004E3511">
              <w:rPr>
                <w:rFonts w:ascii="Arial" w:hAnsi="Arial" w:cs="Arial"/>
              </w:rPr>
              <w:t>Roading</w:t>
            </w:r>
          </w:p>
          <w:p w:rsidR="00363282" w:rsidRPr="004E3511" w:rsidRDefault="00363282" w:rsidP="008045E6">
            <w:pPr>
              <w:pStyle w:val="NoSpacing"/>
              <w:rPr>
                <w:rFonts w:ascii="Arial" w:hAnsi="Arial" w:cs="Arial"/>
              </w:rPr>
            </w:pPr>
          </w:p>
        </w:tc>
        <w:tc>
          <w:tcPr>
            <w:tcW w:w="7970" w:type="dxa"/>
          </w:tcPr>
          <w:p w:rsidR="00363282" w:rsidRPr="004E3511" w:rsidRDefault="0026267F" w:rsidP="008045E6">
            <w:pPr>
              <w:pStyle w:val="NoSpacing"/>
              <w:rPr>
                <w:rFonts w:ascii="Arial" w:hAnsi="Arial" w:cs="Arial"/>
              </w:rPr>
            </w:pPr>
            <w:r>
              <w:rPr>
                <w:rFonts w:ascii="Arial" w:hAnsi="Arial" w:cs="Arial"/>
              </w:rPr>
              <w:t xml:space="preserve">Graduated </w:t>
            </w:r>
            <w:r w:rsidR="00363282" w:rsidRPr="004E3511">
              <w:rPr>
                <w:rFonts w:ascii="Arial" w:hAnsi="Arial" w:cs="Arial"/>
              </w:rPr>
              <w:t xml:space="preserve">savings </w:t>
            </w:r>
            <w:r w:rsidR="00363282">
              <w:rPr>
                <w:rFonts w:ascii="Arial" w:hAnsi="Arial" w:cs="Arial"/>
              </w:rPr>
              <w:t xml:space="preserve">by year 4 of 1% of base expenditure </w:t>
            </w:r>
            <w:r w:rsidR="00363282" w:rsidRPr="004E3511">
              <w:rPr>
                <w:rFonts w:ascii="Arial" w:hAnsi="Arial" w:cs="Arial"/>
              </w:rPr>
              <w:t>will result from;</w:t>
            </w:r>
          </w:p>
          <w:p w:rsidR="00363282" w:rsidRPr="004E3511" w:rsidRDefault="00363282" w:rsidP="00363282">
            <w:pPr>
              <w:pStyle w:val="NoSpacing"/>
              <w:numPr>
                <w:ilvl w:val="0"/>
                <w:numId w:val="13"/>
              </w:numPr>
              <w:rPr>
                <w:rFonts w:ascii="Arial" w:hAnsi="Arial" w:cs="Arial"/>
              </w:rPr>
            </w:pPr>
            <w:r w:rsidRPr="004E3511">
              <w:rPr>
                <w:rFonts w:ascii="Arial" w:hAnsi="Arial" w:cs="Arial"/>
              </w:rPr>
              <w:t>streamlined management</w:t>
            </w:r>
          </w:p>
          <w:p w:rsidR="00363282" w:rsidRPr="004E3511" w:rsidRDefault="00363282" w:rsidP="00363282">
            <w:pPr>
              <w:pStyle w:val="NoSpacing"/>
              <w:numPr>
                <w:ilvl w:val="0"/>
                <w:numId w:val="13"/>
              </w:numPr>
              <w:rPr>
                <w:rFonts w:ascii="Arial" w:hAnsi="Arial" w:cs="Arial"/>
              </w:rPr>
            </w:pPr>
            <w:r w:rsidRPr="004E3511">
              <w:rPr>
                <w:rFonts w:ascii="Arial" w:hAnsi="Arial" w:cs="Arial"/>
              </w:rPr>
              <w:t>economies of scale (especially asset management)</w:t>
            </w:r>
          </w:p>
          <w:p w:rsidR="00363282" w:rsidRDefault="00363282" w:rsidP="00363282">
            <w:pPr>
              <w:pStyle w:val="NoSpacing"/>
              <w:numPr>
                <w:ilvl w:val="0"/>
                <w:numId w:val="13"/>
              </w:numPr>
              <w:rPr>
                <w:rFonts w:ascii="Arial" w:hAnsi="Arial" w:cs="Arial"/>
              </w:rPr>
            </w:pPr>
            <w:r w:rsidRPr="004E3511">
              <w:rPr>
                <w:rFonts w:ascii="Arial" w:hAnsi="Arial" w:cs="Arial"/>
              </w:rPr>
              <w:t xml:space="preserve">rationalised operating and maintenance contracts. </w:t>
            </w:r>
          </w:p>
          <w:p w:rsidR="0026267F" w:rsidRDefault="0026267F" w:rsidP="00363282">
            <w:pPr>
              <w:pStyle w:val="NoSpacing"/>
              <w:numPr>
                <w:ilvl w:val="0"/>
                <w:numId w:val="13"/>
              </w:numPr>
              <w:rPr>
                <w:rFonts w:ascii="Arial" w:hAnsi="Arial" w:cs="Arial"/>
              </w:rPr>
            </w:pPr>
            <w:r>
              <w:rPr>
                <w:rFonts w:ascii="Arial" w:hAnsi="Arial" w:cs="Arial"/>
              </w:rPr>
              <w:t>Unified and integrated asset manage</w:t>
            </w:r>
          </w:p>
          <w:p w:rsidR="0026267F" w:rsidRPr="004E3511" w:rsidRDefault="0026267F" w:rsidP="0026267F">
            <w:pPr>
              <w:pStyle w:val="NoSpacing"/>
              <w:ind w:left="766"/>
              <w:rPr>
                <w:rFonts w:ascii="Arial" w:hAnsi="Arial" w:cs="Arial"/>
              </w:rPr>
            </w:pPr>
          </w:p>
          <w:p w:rsidR="00363282" w:rsidRPr="004E3511" w:rsidRDefault="00363282" w:rsidP="008045E6">
            <w:pPr>
              <w:pStyle w:val="NoSpacing"/>
              <w:rPr>
                <w:rFonts w:ascii="Arial" w:hAnsi="Arial" w:cs="Arial"/>
              </w:rPr>
            </w:pPr>
            <w:r w:rsidRPr="004E3511">
              <w:rPr>
                <w:rFonts w:ascii="Arial" w:hAnsi="Arial" w:cs="Arial"/>
              </w:rPr>
              <w:t>Lesser savings are assumed for roading compared to the three Waters due to efficiencies already driven via NZTA processes</w:t>
            </w:r>
          </w:p>
        </w:tc>
      </w:tr>
      <w:tr w:rsidR="00363282" w:rsidRPr="004E3511" w:rsidTr="008045E6">
        <w:tc>
          <w:tcPr>
            <w:tcW w:w="2628" w:type="dxa"/>
          </w:tcPr>
          <w:p w:rsidR="00363282" w:rsidRPr="004E3511" w:rsidRDefault="00363282" w:rsidP="008045E6">
            <w:pPr>
              <w:pStyle w:val="NoSpacing"/>
              <w:rPr>
                <w:rFonts w:ascii="Arial" w:hAnsi="Arial" w:cs="Arial"/>
              </w:rPr>
            </w:pPr>
            <w:r w:rsidRPr="004E3511">
              <w:rPr>
                <w:rFonts w:ascii="Arial" w:hAnsi="Arial" w:cs="Arial"/>
              </w:rPr>
              <w:t>Solid Waste</w:t>
            </w:r>
          </w:p>
          <w:p w:rsidR="00363282" w:rsidRPr="004E3511" w:rsidRDefault="00363282" w:rsidP="008045E6">
            <w:pPr>
              <w:pStyle w:val="NoSpacing"/>
              <w:rPr>
                <w:rFonts w:ascii="Arial" w:hAnsi="Arial" w:cs="Arial"/>
              </w:rPr>
            </w:pPr>
          </w:p>
        </w:tc>
        <w:tc>
          <w:tcPr>
            <w:tcW w:w="7970" w:type="dxa"/>
          </w:tcPr>
          <w:p w:rsidR="00363282" w:rsidRPr="004E3511" w:rsidRDefault="00363282" w:rsidP="008045E6">
            <w:pPr>
              <w:pStyle w:val="NoSpacing"/>
              <w:rPr>
                <w:rFonts w:ascii="Arial" w:hAnsi="Arial" w:cs="Arial"/>
              </w:rPr>
            </w:pPr>
            <w:r>
              <w:rPr>
                <w:rFonts w:ascii="Arial" w:hAnsi="Arial" w:cs="Arial"/>
              </w:rPr>
              <w:t>No savings</w:t>
            </w:r>
            <w:r w:rsidRPr="004E3511">
              <w:rPr>
                <w:rFonts w:ascii="Arial" w:hAnsi="Arial" w:cs="Arial"/>
              </w:rPr>
              <w:t xml:space="preserve"> assumed given the increased focus on recycling and recovery</w:t>
            </w:r>
          </w:p>
        </w:tc>
      </w:tr>
      <w:tr w:rsidR="00363282" w:rsidRPr="004E3511" w:rsidTr="008045E6">
        <w:tc>
          <w:tcPr>
            <w:tcW w:w="2628" w:type="dxa"/>
          </w:tcPr>
          <w:p w:rsidR="00363282" w:rsidRPr="004E3511" w:rsidRDefault="00363282" w:rsidP="008045E6">
            <w:pPr>
              <w:pStyle w:val="NoSpacing"/>
              <w:rPr>
                <w:rFonts w:ascii="Arial" w:hAnsi="Arial" w:cs="Arial"/>
              </w:rPr>
            </w:pPr>
            <w:r w:rsidRPr="004E3511">
              <w:rPr>
                <w:rFonts w:ascii="Arial" w:hAnsi="Arial" w:cs="Arial"/>
              </w:rPr>
              <w:t>Property</w:t>
            </w:r>
          </w:p>
          <w:p w:rsidR="00363282" w:rsidRPr="004E3511" w:rsidRDefault="00363282" w:rsidP="008045E6">
            <w:pPr>
              <w:pStyle w:val="NoSpacing"/>
              <w:rPr>
                <w:rFonts w:ascii="Arial" w:hAnsi="Arial" w:cs="Arial"/>
              </w:rPr>
            </w:pPr>
          </w:p>
        </w:tc>
        <w:tc>
          <w:tcPr>
            <w:tcW w:w="7970" w:type="dxa"/>
          </w:tcPr>
          <w:p w:rsidR="00363282" w:rsidRPr="004E3511" w:rsidRDefault="00363282" w:rsidP="008045E6">
            <w:pPr>
              <w:pStyle w:val="NoSpacing"/>
              <w:rPr>
                <w:rFonts w:ascii="Arial" w:hAnsi="Arial" w:cs="Arial"/>
              </w:rPr>
            </w:pPr>
            <w:r>
              <w:rPr>
                <w:rFonts w:ascii="Arial" w:hAnsi="Arial" w:cs="Arial"/>
              </w:rPr>
              <w:t>No savings assumed</w:t>
            </w:r>
            <w:r w:rsidRPr="004E3511">
              <w:rPr>
                <w:rFonts w:ascii="Arial" w:hAnsi="Arial" w:cs="Arial"/>
              </w:rPr>
              <w:t xml:space="preserve"> due to uncertainty of future property needs. In some councils property activity </w:t>
            </w:r>
            <w:r w:rsidR="0026267F">
              <w:rPr>
                <w:rFonts w:ascii="Arial" w:hAnsi="Arial" w:cs="Arial"/>
              </w:rPr>
              <w:t xml:space="preserve">is </w:t>
            </w:r>
            <w:r w:rsidRPr="004E3511">
              <w:rPr>
                <w:rFonts w:ascii="Arial" w:hAnsi="Arial" w:cs="Arial"/>
              </w:rPr>
              <w:t>not separately identified</w:t>
            </w:r>
          </w:p>
        </w:tc>
      </w:tr>
      <w:tr w:rsidR="00363282" w:rsidRPr="004E3511" w:rsidTr="008045E6">
        <w:tc>
          <w:tcPr>
            <w:tcW w:w="2628" w:type="dxa"/>
          </w:tcPr>
          <w:p w:rsidR="00363282" w:rsidRPr="004E3511" w:rsidRDefault="00363282" w:rsidP="008045E6">
            <w:pPr>
              <w:pStyle w:val="NoSpacing"/>
              <w:rPr>
                <w:rFonts w:ascii="Arial" w:hAnsi="Arial" w:cs="Arial"/>
              </w:rPr>
            </w:pPr>
            <w:r w:rsidRPr="004E3511">
              <w:rPr>
                <w:rFonts w:ascii="Arial" w:hAnsi="Arial" w:cs="Arial"/>
              </w:rPr>
              <w:t>Harbour/Coastal</w:t>
            </w:r>
          </w:p>
          <w:p w:rsidR="00363282" w:rsidRPr="004E3511" w:rsidRDefault="00363282" w:rsidP="008045E6">
            <w:pPr>
              <w:pStyle w:val="NoSpacing"/>
              <w:rPr>
                <w:rFonts w:ascii="Arial" w:hAnsi="Arial" w:cs="Arial"/>
              </w:rPr>
            </w:pPr>
          </w:p>
        </w:tc>
        <w:tc>
          <w:tcPr>
            <w:tcW w:w="7970" w:type="dxa"/>
          </w:tcPr>
          <w:p w:rsidR="00363282" w:rsidRPr="004E3511" w:rsidRDefault="00363282" w:rsidP="008045E6">
            <w:pPr>
              <w:pStyle w:val="NoSpacing"/>
              <w:rPr>
                <w:rFonts w:ascii="Arial" w:hAnsi="Arial" w:cs="Arial"/>
              </w:rPr>
            </w:pPr>
            <w:r>
              <w:rPr>
                <w:rFonts w:ascii="Arial" w:hAnsi="Arial" w:cs="Arial"/>
              </w:rPr>
              <w:t xml:space="preserve">No savings assumed </w:t>
            </w:r>
            <w:r w:rsidRPr="004E3511">
              <w:rPr>
                <w:rFonts w:ascii="Arial" w:hAnsi="Arial" w:cs="Arial"/>
              </w:rPr>
              <w:t xml:space="preserve"> due to</w:t>
            </w:r>
            <w:r>
              <w:rPr>
                <w:rFonts w:ascii="Arial" w:hAnsi="Arial" w:cs="Arial"/>
              </w:rPr>
              <w:t xml:space="preserve"> increased</w:t>
            </w:r>
            <w:r w:rsidRPr="004E3511">
              <w:rPr>
                <w:rFonts w:ascii="Arial" w:hAnsi="Arial" w:cs="Arial"/>
              </w:rPr>
              <w:t xml:space="preserve"> environmental considerations</w:t>
            </w:r>
          </w:p>
        </w:tc>
      </w:tr>
      <w:tr w:rsidR="00363282" w:rsidRPr="004E3511" w:rsidTr="008045E6">
        <w:tc>
          <w:tcPr>
            <w:tcW w:w="2628" w:type="dxa"/>
          </w:tcPr>
          <w:p w:rsidR="00363282" w:rsidRPr="004E3511" w:rsidRDefault="00363282" w:rsidP="008045E6">
            <w:pPr>
              <w:pStyle w:val="NoSpacing"/>
              <w:rPr>
                <w:rFonts w:ascii="Arial" w:hAnsi="Arial" w:cs="Arial"/>
              </w:rPr>
            </w:pPr>
            <w:r w:rsidRPr="004E3511">
              <w:rPr>
                <w:rFonts w:ascii="Arial" w:hAnsi="Arial" w:cs="Arial"/>
              </w:rPr>
              <w:t>Economic Dev</w:t>
            </w:r>
            <w:r>
              <w:rPr>
                <w:rFonts w:ascii="Arial" w:hAnsi="Arial" w:cs="Arial"/>
              </w:rPr>
              <w:t xml:space="preserve">elopment </w:t>
            </w:r>
          </w:p>
          <w:p w:rsidR="00363282" w:rsidRPr="004E3511" w:rsidRDefault="00363282" w:rsidP="008045E6">
            <w:pPr>
              <w:pStyle w:val="NoSpacing"/>
              <w:rPr>
                <w:rFonts w:ascii="Arial" w:hAnsi="Arial" w:cs="Arial"/>
              </w:rPr>
            </w:pPr>
          </w:p>
        </w:tc>
        <w:tc>
          <w:tcPr>
            <w:tcW w:w="7970" w:type="dxa"/>
          </w:tcPr>
          <w:p w:rsidR="00363282" w:rsidRPr="004E3511" w:rsidRDefault="00363282" w:rsidP="008045E6">
            <w:pPr>
              <w:pStyle w:val="NoSpacing"/>
              <w:rPr>
                <w:rFonts w:ascii="Arial" w:hAnsi="Arial" w:cs="Arial"/>
              </w:rPr>
            </w:pPr>
            <w:r>
              <w:rPr>
                <w:rFonts w:ascii="Arial" w:hAnsi="Arial" w:cs="Arial"/>
              </w:rPr>
              <w:t>No savings</w:t>
            </w:r>
            <w:r w:rsidRPr="004E3511">
              <w:rPr>
                <w:rFonts w:ascii="Arial" w:hAnsi="Arial" w:cs="Arial"/>
              </w:rPr>
              <w:t xml:space="preserve"> assumed</w:t>
            </w:r>
          </w:p>
        </w:tc>
      </w:tr>
    </w:tbl>
    <w:p w:rsidR="0026267F" w:rsidRDefault="0026267F" w:rsidP="00363282">
      <w:pPr>
        <w:pStyle w:val="NoSpacing"/>
        <w:rPr>
          <w:rFonts w:ascii="Arial" w:hAnsi="Arial" w:cs="Arial"/>
        </w:rPr>
      </w:pPr>
    </w:p>
    <w:p w:rsidR="0026267F" w:rsidRDefault="0026267F" w:rsidP="00363282">
      <w:pPr>
        <w:pStyle w:val="NoSpacing"/>
        <w:rPr>
          <w:rFonts w:ascii="Arial" w:hAnsi="Arial" w:cs="Arial"/>
        </w:rPr>
      </w:pPr>
    </w:p>
    <w:p w:rsidR="0026267F" w:rsidRDefault="0026267F" w:rsidP="0026267F">
      <w:pPr>
        <w:pStyle w:val="NoSpacing"/>
        <w:numPr>
          <w:ilvl w:val="0"/>
          <w:numId w:val="14"/>
        </w:numPr>
        <w:rPr>
          <w:rFonts w:ascii="Arial" w:hAnsi="Arial" w:cs="Arial"/>
          <w:i/>
        </w:rPr>
      </w:pPr>
      <w:r>
        <w:rPr>
          <w:rFonts w:ascii="Arial" w:hAnsi="Arial" w:cs="Arial"/>
          <w:i/>
        </w:rPr>
        <w:t>Assumptions on Activity Ca</w:t>
      </w:r>
      <w:r w:rsidRPr="00396F34">
        <w:rPr>
          <w:rFonts w:ascii="Arial" w:hAnsi="Arial" w:cs="Arial"/>
          <w:i/>
        </w:rPr>
        <w:t>pex</w:t>
      </w:r>
    </w:p>
    <w:p w:rsidR="00102944" w:rsidRDefault="00102944" w:rsidP="00102944">
      <w:pPr>
        <w:pStyle w:val="NoSpacing"/>
        <w:rPr>
          <w:rFonts w:ascii="Arial" w:hAnsi="Arial" w:cs="Arial"/>
          <w:i/>
        </w:rPr>
      </w:pPr>
    </w:p>
    <w:p w:rsidR="00102944" w:rsidRDefault="00102944" w:rsidP="00102944">
      <w:pPr>
        <w:pStyle w:val="NoSpacing"/>
        <w:rPr>
          <w:rFonts w:ascii="Arial" w:hAnsi="Arial" w:cs="Arial"/>
          <w:i/>
        </w:rPr>
      </w:pPr>
      <w:r>
        <w:rPr>
          <w:rFonts w:ascii="Arial" w:hAnsi="Arial" w:cs="Arial"/>
          <w:i/>
        </w:rPr>
        <w:t>Table 2 – Option 2.1-2.3 ; Assumptions on Activity capex savings</w:t>
      </w:r>
    </w:p>
    <w:p w:rsidR="0026267F" w:rsidRPr="00B34BFD" w:rsidRDefault="0026267F" w:rsidP="0026267F">
      <w:pPr>
        <w:ind w:left="360"/>
        <w:rPr>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8"/>
        <w:gridCol w:w="7970"/>
      </w:tblGrid>
      <w:tr w:rsidR="0026267F" w:rsidRPr="004E3511" w:rsidTr="008045E6">
        <w:tc>
          <w:tcPr>
            <w:tcW w:w="2628" w:type="dxa"/>
          </w:tcPr>
          <w:p w:rsidR="0026267F" w:rsidRPr="004E3511" w:rsidRDefault="0026267F" w:rsidP="008045E6">
            <w:pPr>
              <w:pStyle w:val="NoSpacing"/>
              <w:rPr>
                <w:rFonts w:ascii="Arial" w:hAnsi="Arial" w:cs="Arial"/>
              </w:rPr>
            </w:pPr>
            <w:r w:rsidRPr="004E3511">
              <w:rPr>
                <w:rFonts w:ascii="Arial" w:hAnsi="Arial" w:cs="Arial"/>
              </w:rPr>
              <w:t>Regulatory</w:t>
            </w:r>
          </w:p>
          <w:p w:rsidR="0026267F" w:rsidRPr="004E3511" w:rsidRDefault="0026267F" w:rsidP="008045E6">
            <w:pPr>
              <w:pStyle w:val="NoSpacing"/>
              <w:rPr>
                <w:rFonts w:ascii="Arial" w:hAnsi="Arial" w:cs="Arial"/>
              </w:rPr>
            </w:pPr>
          </w:p>
        </w:tc>
        <w:tc>
          <w:tcPr>
            <w:tcW w:w="7970" w:type="dxa"/>
          </w:tcPr>
          <w:p w:rsidR="0026267F" w:rsidRDefault="0026267F" w:rsidP="008045E6">
            <w:pPr>
              <w:pStyle w:val="NoSpacing"/>
              <w:rPr>
                <w:rFonts w:ascii="Arial" w:hAnsi="Arial" w:cs="Arial"/>
              </w:rPr>
            </w:pPr>
            <w:r>
              <w:rPr>
                <w:rFonts w:ascii="Arial" w:hAnsi="Arial" w:cs="Arial"/>
              </w:rPr>
              <w:t xml:space="preserve">No savings assumed. </w:t>
            </w:r>
            <w:r w:rsidRPr="004E3511">
              <w:rPr>
                <w:rFonts w:ascii="Arial" w:hAnsi="Arial" w:cs="Arial"/>
              </w:rPr>
              <w:t xml:space="preserve">Present capex predictions are small. </w:t>
            </w:r>
            <w:r>
              <w:rPr>
                <w:rFonts w:ascii="Arial" w:hAnsi="Arial" w:cs="Arial"/>
              </w:rPr>
              <w:t>There m</w:t>
            </w:r>
            <w:r w:rsidRPr="004E3511">
              <w:rPr>
                <w:rFonts w:ascii="Arial" w:hAnsi="Arial" w:cs="Arial"/>
              </w:rPr>
              <w:t>ay need to be investment in new IT systems</w:t>
            </w:r>
          </w:p>
          <w:p w:rsidR="0026267F" w:rsidRPr="004E3511" w:rsidRDefault="0026267F" w:rsidP="008045E6">
            <w:pPr>
              <w:pStyle w:val="NoSpacing"/>
              <w:rPr>
                <w:rFonts w:ascii="Arial" w:hAnsi="Arial" w:cs="Arial"/>
              </w:rPr>
            </w:pPr>
          </w:p>
        </w:tc>
      </w:tr>
      <w:tr w:rsidR="0026267F" w:rsidRPr="004E3511" w:rsidTr="008045E6">
        <w:tc>
          <w:tcPr>
            <w:tcW w:w="2628" w:type="dxa"/>
          </w:tcPr>
          <w:p w:rsidR="0026267F" w:rsidRPr="004E3511" w:rsidRDefault="0026267F" w:rsidP="008045E6">
            <w:pPr>
              <w:pStyle w:val="NoSpacing"/>
              <w:rPr>
                <w:rFonts w:ascii="Arial" w:hAnsi="Arial" w:cs="Arial"/>
              </w:rPr>
            </w:pPr>
            <w:r>
              <w:rPr>
                <w:rFonts w:ascii="Arial" w:hAnsi="Arial" w:cs="Arial"/>
              </w:rPr>
              <w:t>Community Facilities</w:t>
            </w:r>
          </w:p>
        </w:tc>
        <w:tc>
          <w:tcPr>
            <w:tcW w:w="7970" w:type="dxa"/>
          </w:tcPr>
          <w:p w:rsidR="0026267F" w:rsidRDefault="0026267F" w:rsidP="008045E6">
            <w:pPr>
              <w:pStyle w:val="NoSpacing"/>
              <w:rPr>
                <w:rFonts w:ascii="Arial" w:hAnsi="Arial" w:cs="Arial"/>
              </w:rPr>
            </w:pPr>
            <w:r w:rsidRPr="004E3511">
              <w:rPr>
                <w:rFonts w:ascii="Arial" w:hAnsi="Arial" w:cs="Arial"/>
              </w:rPr>
              <w:t xml:space="preserve">Graduated savings </w:t>
            </w:r>
            <w:r>
              <w:rPr>
                <w:rFonts w:ascii="Arial" w:hAnsi="Arial" w:cs="Arial"/>
              </w:rPr>
              <w:t xml:space="preserve">of 1% of base capex by year 4 </w:t>
            </w:r>
            <w:r w:rsidRPr="004E3511">
              <w:rPr>
                <w:rFonts w:ascii="Arial" w:hAnsi="Arial" w:cs="Arial"/>
              </w:rPr>
              <w:t xml:space="preserve">will likely result from better </w:t>
            </w:r>
            <w:r>
              <w:rPr>
                <w:rFonts w:ascii="Arial" w:hAnsi="Arial" w:cs="Arial"/>
              </w:rPr>
              <w:t xml:space="preserve">and integrated </w:t>
            </w:r>
            <w:r w:rsidRPr="004E3511">
              <w:rPr>
                <w:rFonts w:ascii="Arial" w:hAnsi="Arial" w:cs="Arial"/>
              </w:rPr>
              <w:t>capex project planning and delivery</w:t>
            </w:r>
          </w:p>
          <w:p w:rsidR="0026267F" w:rsidRPr="004E3511" w:rsidRDefault="0026267F" w:rsidP="008045E6">
            <w:pPr>
              <w:pStyle w:val="NoSpacing"/>
              <w:rPr>
                <w:rFonts w:ascii="Arial" w:hAnsi="Arial" w:cs="Arial"/>
              </w:rPr>
            </w:pPr>
          </w:p>
        </w:tc>
      </w:tr>
      <w:tr w:rsidR="0026267F" w:rsidRPr="004E3511" w:rsidTr="008045E6">
        <w:tc>
          <w:tcPr>
            <w:tcW w:w="2628" w:type="dxa"/>
          </w:tcPr>
          <w:p w:rsidR="0026267F" w:rsidRPr="004E3511" w:rsidRDefault="0026267F" w:rsidP="008045E6">
            <w:pPr>
              <w:pStyle w:val="NoSpacing"/>
              <w:rPr>
                <w:rFonts w:ascii="Arial" w:hAnsi="Arial" w:cs="Arial"/>
              </w:rPr>
            </w:pPr>
            <w:r w:rsidRPr="004E3511">
              <w:rPr>
                <w:rFonts w:ascii="Arial" w:hAnsi="Arial" w:cs="Arial"/>
              </w:rPr>
              <w:t>Water, Wastewater and Stormwater</w:t>
            </w:r>
          </w:p>
          <w:p w:rsidR="0026267F" w:rsidRPr="004E3511" w:rsidRDefault="0026267F" w:rsidP="008045E6">
            <w:pPr>
              <w:pStyle w:val="NoSpacing"/>
              <w:rPr>
                <w:rFonts w:ascii="Arial" w:hAnsi="Arial" w:cs="Arial"/>
              </w:rPr>
            </w:pPr>
          </w:p>
        </w:tc>
        <w:tc>
          <w:tcPr>
            <w:tcW w:w="7970" w:type="dxa"/>
          </w:tcPr>
          <w:p w:rsidR="0026267F" w:rsidRPr="004E3511" w:rsidRDefault="0026267F" w:rsidP="008045E6">
            <w:pPr>
              <w:pStyle w:val="NoSpacing"/>
              <w:rPr>
                <w:rFonts w:ascii="Arial" w:hAnsi="Arial" w:cs="Arial"/>
              </w:rPr>
            </w:pPr>
            <w:r w:rsidRPr="004E3511">
              <w:rPr>
                <w:rFonts w:ascii="Arial" w:hAnsi="Arial" w:cs="Arial"/>
              </w:rPr>
              <w:t xml:space="preserve">Graduated savings </w:t>
            </w:r>
            <w:r>
              <w:rPr>
                <w:rFonts w:ascii="Arial" w:hAnsi="Arial" w:cs="Arial"/>
              </w:rPr>
              <w:t xml:space="preserve">of 1% of base capex by year 4 </w:t>
            </w:r>
            <w:r w:rsidRPr="004E3511">
              <w:rPr>
                <w:rFonts w:ascii="Arial" w:hAnsi="Arial" w:cs="Arial"/>
              </w:rPr>
              <w:t>will likely result from;</w:t>
            </w:r>
          </w:p>
          <w:p w:rsidR="0026267F" w:rsidRPr="004E3511" w:rsidRDefault="005B5830" w:rsidP="0026267F">
            <w:pPr>
              <w:pStyle w:val="NoSpacing"/>
              <w:numPr>
                <w:ilvl w:val="0"/>
                <w:numId w:val="15"/>
              </w:numPr>
              <w:rPr>
                <w:rFonts w:ascii="Arial" w:hAnsi="Arial" w:cs="Arial"/>
              </w:rPr>
            </w:pPr>
            <w:r>
              <w:rPr>
                <w:rFonts w:ascii="Arial" w:hAnsi="Arial" w:cs="Arial"/>
              </w:rPr>
              <w:t>B</w:t>
            </w:r>
            <w:r w:rsidR="0026267F" w:rsidRPr="004E3511">
              <w:rPr>
                <w:rFonts w:ascii="Arial" w:hAnsi="Arial" w:cs="Arial"/>
              </w:rPr>
              <w:t>etter capex project planning and delivery</w:t>
            </w:r>
          </w:p>
          <w:p w:rsidR="0026267F" w:rsidRDefault="005B5830" w:rsidP="0026267F">
            <w:pPr>
              <w:pStyle w:val="NoSpacing"/>
              <w:numPr>
                <w:ilvl w:val="0"/>
                <w:numId w:val="15"/>
              </w:numPr>
              <w:rPr>
                <w:rFonts w:ascii="Arial" w:hAnsi="Arial" w:cs="Arial"/>
              </w:rPr>
            </w:pPr>
            <w:r>
              <w:rPr>
                <w:rFonts w:ascii="Arial" w:hAnsi="Arial" w:cs="Arial"/>
              </w:rPr>
              <w:t>N</w:t>
            </w:r>
            <w:r w:rsidR="0026267F" w:rsidRPr="004E3511">
              <w:rPr>
                <w:rFonts w:ascii="Arial" w:hAnsi="Arial" w:cs="Arial"/>
              </w:rPr>
              <w:t>etwork approach to renewals</w:t>
            </w:r>
          </w:p>
          <w:p w:rsidR="005B5830" w:rsidRPr="005B5830" w:rsidRDefault="005B5830" w:rsidP="005B5830">
            <w:pPr>
              <w:pStyle w:val="NoSpacing"/>
              <w:numPr>
                <w:ilvl w:val="0"/>
                <w:numId w:val="15"/>
              </w:numPr>
              <w:rPr>
                <w:rFonts w:ascii="Arial" w:hAnsi="Arial" w:cs="Arial"/>
              </w:rPr>
            </w:pPr>
            <w:r>
              <w:rPr>
                <w:rFonts w:ascii="Arial" w:hAnsi="Arial" w:cs="Arial"/>
              </w:rPr>
              <w:t>Centralised administration of contracts</w:t>
            </w:r>
          </w:p>
          <w:p w:rsidR="0026267F" w:rsidRPr="004E3511" w:rsidRDefault="0026267F" w:rsidP="008045E6">
            <w:pPr>
              <w:pStyle w:val="NoSpacing"/>
              <w:rPr>
                <w:rFonts w:ascii="Arial" w:hAnsi="Arial" w:cs="Arial"/>
              </w:rPr>
            </w:pPr>
          </w:p>
        </w:tc>
      </w:tr>
      <w:tr w:rsidR="0026267F" w:rsidRPr="004E3511" w:rsidTr="008045E6">
        <w:tc>
          <w:tcPr>
            <w:tcW w:w="2628" w:type="dxa"/>
          </w:tcPr>
          <w:p w:rsidR="0026267F" w:rsidRPr="004E3511" w:rsidRDefault="0026267F" w:rsidP="008045E6">
            <w:pPr>
              <w:pStyle w:val="NoSpacing"/>
              <w:rPr>
                <w:rFonts w:ascii="Arial" w:hAnsi="Arial" w:cs="Arial"/>
              </w:rPr>
            </w:pPr>
            <w:r w:rsidRPr="004E3511">
              <w:rPr>
                <w:rFonts w:ascii="Arial" w:hAnsi="Arial" w:cs="Arial"/>
              </w:rPr>
              <w:t>Roading</w:t>
            </w:r>
          </w:p>
          <w:p w:rsidR="0026267F" w:rsidRPr="004E3511" w:rsidRDefault="0026267F" w:rsidP="008045E6">
            <w:pPr>
              <w:pStyle w:val="NoSpacing"/>
              <w:rPr>
                <w:rFonts w:ascii="Arial" w:hAnsi="Arial" w:cs="Arial"/>
              </w:rPr>
            </w:pPr>
          </w:p>
        </w:tc>
        <w:tc>
          <w:tcPr>
            <w:tcW w:w="7970" w:type="dxa"/>
          </w:tcPr>
          <w:p w:rsidR="0026267F" w:rsidRPr="004E3511" w:rsidRDefault="0026267F" w:rsidP="008045E6">
            <w:pPr>
              <w:pStyle w:val="NoSpacing"/>
              <w:rPr>
                <w:rFonts w:ascii="Arial" w:hAnsi="Arial" w:cs="Arial"/>
              </w:rPr>
            </w:pPr>
            <w:r w:rsidRPr="004E3511">
              <w:rPr>
                <w:rFonts w:ascii="Arial" w:hAnsi="Arial" w:cs="Arial"/>
              </w:rPr>
              <w:t xml:space="preserve">Graduated savings </w:t>
            </w:r>
            <w:r>
              <w:rPr>
                <w:rFonts w:ascii="Arial" w:hAnsi="Arial" w:cs="Arial"/>
              </w:rPr>
              <w:t xml:space="preserve">of 1% of base capex by year4 </w:t>
            </w:r>
            <w:r w:rsidRPr="004E3511">
              <w:rPr>
                <w:rFonts w:ascii="Arial" w:hAnsi="Arial" w:cs="Arial"/>
              </w:rPr>
              <w:t>will likely result from;</w:t>
            </w:r>
          </w:p>
          <w:p w:rsidR="0026267F" w:rsidRPr="004E3511" w:rsidRDefault="0026267F" w:rsidP="0026267F">
            <w:pPr>
              <w:pStyle w:val="NoSpacing"/>
              <w:numPr>
                <w:ilvl w:val="0"/>
                <w:numId w:val="15"/>
              </w:numPr>
              <w:rPr>
                <w:rFonts w:ascii="Arial" w:hAnsi="Arial" w:cs="Arial"/>
              </w:rPr>
            </w:pPr>
            <w:r w:rsidRPr="004E3511">
              <w:rPr>
                <w:rFonts w:ascii="Arial" w:hAnsi="Arial" w:cs="Arial"/>
              </w:rPr>
              <w:t>better capex project planning and delivery</w:t>
            </w:r>
          </w:p>
          <w:p w:rsidR="0026267F" w:rsidRDefault="0026267F" w:rsidP="0026267F">
            <w:pPr>
              <w:pStyle w:val="NoSpacing"/>
              <w:numPr>
                <w:ilvl w:val="0"/>
                <w:numId w:val="15"/>
              </w:numPr>
              <w:rPr>
                <w:rFonts w:ascii="Arial" w:hAnsi="Arial" w:cs="Arial"/>
              </w:rPr>
            </w:pPr>
            <w:r w:rsidRPr="004E3511">
              <w:rPr>
                <w:rFonts w:ascii="Arial" w:hAnsi="Arial" w:cs="Arial"/>
              </w:rPr>
              <w:t>network approach to renewals</w:t>
            </w:r>
          </w:p>
          <w:p w:rsidR="005B5830" w:rsidRPr="004E3511" w:rsidRDefault="005B5830" w:rsidP="0026267F">
            <w:pPr>
              <w:pStyle w:val="NoSpacing"/>
              <w:numPr>
                <w:ilvl w:val="0"/>
                <w:numId w:val="15"/>
              </w:numPr>
              <w:rPr>
                <w:rFonts w:ascii="Arial" w:hAnsi="Arial" w:cs="Arial"/>
              </w:rPr>
            </w:pPr>
            <w:r>
              <w:rPr>
                <w:rFonts w:ascii="Arial" w:hAnsi="Arial" w:cs="Arial"/>
              </w:rPr>
              <w:t>Centralised administration of contracts</w:t>
            </w:r>
          </w:p>
          <w:p w:rsidR="0026267F" w:rsidRPr="004E3511" w:rsidRDefault="0026267F" w:rsidP="008045E6">
            <w:pPr>
              <w:pStyle w:val="NoSpacing"/>
              <w:rPr>
                <w:rFonts w:ascii="Arial" w:hAnsi="Arial" w:cs="Arial"/>
              </w:rPr>
            </w:pPr>
          </w:p>
        </w:tc>
      </w:tr>
      <w:tr w:rsidR="0026267F" w:rsidRPr="004E3511" w:rsidTr="008045E6">
        <w:tc>
          <w:tcPr>
            <w:tcW w:w="2628" w:type="dxa"/>
          </w:tcPr>
          <w:p w:rsidR="0026267F" w:rsidRPr="004E3511" w:rsidRDefault="0026267F" w:rsidP="008045E6">
            <w:pPr>
              <w:pStyle w:val="NoSpacing"/>
              <w:rPr>
                <w:rFonts w:ascii="Arial" w:hAnsi="Arial" w:cs="Arial"/>
              </w:rPr>
            </w:pPr>
            <w:r w:rsidRPr="004E3511">
              <w:rPr>
                <w:rFonts w:ascii="Arial" w:hAnsi="Arial" w:cs="Arial"/>
              </w:rPr>
              <w:t>Solid Waste</w:t>
            </w:r>
          </w:p>
          <w:p w:rsidR="0026267F" w:rsidRPr="004E3511" w:rsidRDefault="0026267F" w:rsidP="008045E6">
            <w:pPr>
              <w:pStyle w:val="NoSpacing"/>
              <w:rPr>
                <w:rFonts w:ascii="Arial" w:hAnsi="Arial" w:cs="Arial"/>
              </w:rPr>
            </w:pPr>
          </w:p>
        </w:tc>
        <w:tc>
          <w:tcPr>
            <w:tcW w:w="7970" w:type="dxa"/>
          </w:tcPr>
          <w:p w:rsidR="0026267F" w:rsidRPr="004E3511" w:rsidRDefault="0026267F" w:rsidP="008045E6">
            <w:pPr>
              <w:pStyle w:val="NoSpacing"/>
              <w:rPr>
                <w:rFonts w:ascii="Arial" w:hAnsi="Arial" w:cs="Arial"/>
              </w:rPr>
            </w:pPr>
            <w:r w:rsidRPr="004E3511">
              <w:rPr>
                <w:rFonts w:ascii="Arial" w:hAnsi="Arial" w:cs="Arial"/>
              </w:rPr>
              <w:t>No change assumed given the increased focus on recycling and recovery</w:t>
            </w:r>
          </w:p>
        </w:tc>
      </w:tr>
      <w:tr w:rsidR="0026267F" w:rsidRPr="004E3511" w:rsidTr="008045E6">
        <w:tc>
          <w:tcPr>
            <w:tcW w:w="2628" w:type="dxa"/>
          </w:tcPr>
          <w:p w:rsidR="0026267F" w:rsidRPr="004E3511" w:rsidRDefault="0026267F" w:rsidP="008045E6">
            <w:pPr>
              <w:pStyle w:val="NoSpacing"/>
              <w:rPr>
                <w:rFonts w:ascii="Arial" w:hAnsi="Arial" w:cs="Arial"/>
              </w:rPr>
            </w:pPr>
            <w:r w:rsidRPr="004E3511">
              <w:rPr>
                <w:rFonts w:ascii="Arial" w:hAnsi="Arial" w:cs="Arial"/>
              </w:rPr>
              <w:t>Property</w:t>
            </w:r>
          </w:p>
          <w:p w:rsidR="0026267F" w:rsidRPr="004E3511" w:rsidRDefault="0026267F" w:rsidP="008045E6">
            <w:pPr>
              <w:pStyle w:val="NoSpacing"/>
              <w:rPr>
                <w:rFonts w:ascii="Arial" w:hAnsi="Arial" w:cs="Arial"/>
              </w:rPr>
            </w:pPr>
          </w:p>
        </w:tc>
        <w:tc>
          <w:tcPr>
            <w:tcW w:w="7970" w:type="dxa"/>
          </w:tcPr>
          <w:p w:rsidR="0026267F" w:rsidRDefault="0026267F" w:rsidP="008045E6">
            <w:pPr>
              <w:pStyle w:val="NoSpacing"/>
              <w:rPr>
                <w:rFonts w:ascii="Arial" w:hAnsi="Arial" w:cs="Arial"/>
              </w:rPr>
            </w:pPr>
            <w:r w:rsidRPr="004E3511">
              <w:rPr>
                <w:rFonts w:ascii="Arial" w:hAnsi="Arial" w:cs="Arial"/>
              </w:rPr>
              <w:t>No change due to uncertainty of future property needs. In some councils property activity not separately identified</w:t>
            </w:r>
          </w:p>
          <w:p w:rsidR="005B5830" w:rsidRPr="004E3511" w:rsidRDefault="005B5830" w:rsidP="008045E6">
            <w:pPr>
              <w:pStyle w:val="NoSpacing"/>
              <w:rPr>
                <w:rFonts w:ascii="Arial" w:hAnsi="Arial" w:cs="Arial"/>
              </w:rPr>
            </w:pPr>
          </w:p>
        </w:tc>
      </w:tr>
      <w:tr w:rsidR="0026267F" w:rsidRPr="004E3511" w:rsidTr="008045E6">
        <w:tc>
          <w:tcPr>
            <w:tcW w:w="2628" w:type="dxa"/>
          </w:tcPr>
          <w:p w:rsidR="0026267F" w:rsidRPr="004E3511" w:rsidRDefault="0026267F" w:rsidP="008045E6">
            <w:pPr>
              <w:pStyle w:val="NoSpacing"/>
              <w:rPr>
                <w:rFonts w:ascii="Arial" w:hAnsi="Arial" w:cs="Arial"/>
              </w:rPr>
            </w:pPr>
            <w:r w:rsidRPr="004E3511">
              <w:rPr>
                <w:rFonts w:ascii="Arial" w:hAnsi="Arial" w:cs="Arial"/>
              </w:rPr>
              <w:t>Harbour/Coastal</w:t>
            </w:r>
          </w:p>
          <w:p w:rsidR="0026267F" w:rsidRPr="004E3511" w:rsidRDefault="0026267F" w:rsidP="008045E6">
            <w:pPr>
              <w:pStyle w:val="NoSpacing"/>
              <w:rPr>
                <w:rFonts w:ascii="Arial" w:hAnsi="Arial" w:cs="Arial"/>
              </w:rPr>
            </w:pPr>
          </w:p>
        </w:tc>
        <w:tc>
          <w:tcPr>
            <w:tcW w:w="7970" w:type="dxa"/>
          </w:tcPr>
          <w:p w:rsidR="0026267F" w:rsidRPr="004E3511" w:rsidRDefault="0026267F" w:rsidP="008045E6">
            <w:pPr>
              <w:pStyle w:val="NoSpacing"/>
              <w:rPr>
                <w:rFonts w:ascii="Arial" w:hAnsi="Arial" w:cs="Arial"/>
              </w:rPr>
            </w:pPr>
            <w:r w:rsidRPr="004E3511">
              <w:rPr>
                <w:rFonts w:ascii="Arial" w:hAnsi="Arial" w:cs="Arial"/>
              </w:rPr>
              <w:t>No change due to environmental considerations</w:t>
            </w:r>
          </w:p>
        </w:tc>
      </w:tr>
      <w:tr w:rsidR="0026267F" w:rsidRPr="004E3511" w:rsidTr="008045E6">
        <w:tc>
          <w:tcPr>
            <w:tcW w:w="2628" w:type="dxa"/>
          </w:tcPr>
          <w:p w:rsidR="0026267F" w:rsidRPr="004E3511" w:rsidRDefault="0026267F" w:rsidP="008045E6">
            <w:pPr>
              <w:pStyle w:val="NoSpacing"/>
              <w:rPr>
                <w:rFonts w:ascii="Arial" w:hAnsi="Arial" w:cs="Arial"/>
              </w:rPr>
            </w:pPr>
            <w:r w:rsidRPr="004E3511">
              <w:rPr>
                <w:rFonts w:ascii="Arial" w:hAnsi="Arial" w:cs="Arial"/>
              </w:rPr>
              <w:t>Economic Dev</w:t>
            </w:r>
            <w:r>
              <w:rPr>
                <w:rFonts w:ascii="Arial" w:hAnsi="Arial" w:cs="Arial"/>
              </w:rPr>
              <w:t xml:space="preserve">elopment </w:t>
            </w:r>
          </w:p>
        </w:tc>
        <w:tc>
          <w:tcPr>
            <w:tcW w:w="7970" w:type="dxa"/>
          </w:tcPr>
          <w:p w:rsidR="0026267F" w:rsidRDefault="0026267F" w:rsidP="008045E6">
            <w:pPr>
              <w:pStyle w:val="NoSpacing"/>
              <w:rPr>
                <w:rFonts w:ascii="Arial" w:hAnsi="Arial" w:cs="Arial"/>
              </w:rPr>
            </w:pPr>
            <w:r w:rsidRPr="004E3511">
              <w:rPr>
                <w:rFonts w:ascii="Arial" w:hAnsi="Arial" w:cs="Arial"/>
              </w:rPr>
              <w:t>No change assumed</w:t>
            </w:r>
          </w:p>
          <w:p w:rsidR="005B5830" w:rsidRPr="004E3511" w:rsidRDefault="005B5830" w:rsidP="008045E6">
            <w:pPr>
              <w:pStyle w:val="NoSpacing"/>
              <w:rPr>
                <w:rFonts w:ascii="Arial" w:hAnsi="Arial" w:cs="Arial"/>
              </w:rPr>
            </w:pPr>
          </w:p>
        </w:tc>
      </w:tr>
    </w:tbl>
    <w:p w:rsidR="0026267F" w:rsidRDefault="0026267F" w:rsidP="00363282">
      <w:pPr>
        <w:pStyle w:val="NoSpacing"/>
        <w:rPr>
          <w:rFonts w:ascii="Arial" w:hAnsi="Arial" w:cs="Arial"/>
        </w:rPr>
      </w:pPr>
    </w:p>
    <w:p w:rsidR="005B5830" w:rsidRPr="005B5830" w:rsidRDefault="005B5830" w:rsidP="005B5830">
      <w:pPr>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Default="005B5830" w:rsidP="005B5830">
      <w:pPr>
        <w:pStyle w:val="ListParagraph"/>
        <w:jc w:val="left"/>
        <w:rPr>
          <w:i/>
        </w:rPr>
      </w:pPr>
    </w:p>
    <w:p w:rsidR="005B5830" w:rsidRPr="0065222E" w:rsidRDefault="005B5830" w:rsidP="0065222E">
      <w:pPr>
        <w:rPr>
          <w:i/>
        </w:rPr>
      </w:pPr>
    </w:p>
    <w:p w:rsidR="005B5830" w:rsidRDefault="005B5830" w:rsidP="005B5830">
      <w:pPr>
        <w:pStyle w:val="ListParagraph"/>
        <w:jc w:val="left"/>
        <w:rPr>
          <w:i/>
        </w:rPr>
      </w:pPr>
    </w:p>
    <w:p w:rsidR="005B5830" w:rsidRPr="005B5830" w:rsidRDefault="005B5830" w:rsidP="005B5830">
      <w:pPr>
        <w:pStyle w:val="ListParagraph"/>
        <w:numPr>
          <w:ilvl w:val="0"/>
          <w:numId w:val="14"/>
        </w:numPr>
        <w:jc w:val="left"/>
        <w:rPr>
          <w:i/>
        </w:rPr>
      </w:pPr>
      <w:r>
        <w:rPr>
          <w:i/>
        </w:rPr>
        <w:t xml:space="preserve"> </w:t>
      </w:r>
      <w:r w:rsidRPr="005B5830">
        <w:rPr>
          <w:i/>
        </w:rPr>
        <w:t>Assumptions on Corporate Personnel savings</w:t>
      </w:r>
    </w:p>
    <w:p w:rsidR="005B5830" w:rsidRDefault="005B5830" w:rsidP="002B7948">
      <w:pPr>
        <w:pStyle w:val="NoSpacing"/>
        <w:rPr>
          <w:i/>
        </w:rPr>
      </w:pPr>
    </w:p>
    <w:p w:rsidR="002B7948" w:rsidRDefault="002B7948" w:rsidP="002B7948">
      <w:pPr>
        <w:pStyle w:val="NoSpacing"/>
        <w:rPr>
          <w:rFonts w:ascii="Arial" w:hAnsi="Arial" w:cs="Arial"/>
          <w:i/>
        </w:rPr>
      </w:pPr>
      <w:r w:rsidRPr="002B7948">
        <w:rPr>
          <w:rFonts w:ascii="Arial" w:hAnsi="Arial" w:cs="Arial"/>
          <w:i/>
        </w:rPr>
        <w:t>Table 3   Optio</w:t>
      </w:r>
      <w:r>
        <w:rPr>
          <w:rFonts w:ascii="Arial" w:hAnsi="Arial" w:cs="Arial"/>
          <w:i/>
        </w:rPr>
        <w:t>ns</w:t>
      </w:r>
      <w:r w:rsidRPr="002B7948">
        <w:rPr>
          <w:rFonts w:ascii="Arial" w:hAnsi="Arial" w:cs="Arial"/>
          <w:i/>
        </w:rPr>
        <w:t xml:space="preserve"> 2.1-2.3; Assumptions on Corporate Support personnel savings</w:t>
      </w:r>
    </w:p>
    <w:p w:rsidR="002B7948" w:rsidRPr="002B7948" w:rsidRDefault="002B7948" w:rsidP="002B7948">
      <w:pPr>
        <w:pStyle w:val="NoSpacing"/>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4"/>
        <w:gridCol w:w="1261"/>
        <w:gridCol w:w="1231"/>
        <w:gridCol w:w="1408"/>
        <w:gridCol w:w="1202"/>
        <w:gridCol w:w="1251"/>
        <w:gridCol w:w="1239"/>
      </w:tblGrid>
      <w:tr w:rsidR="005B5830" w:rsidRPr="004E3511" w:rsidTr="00994ECA">
        <w:tc>
          <w:tcPr>
            <w:tcW w:w="3215" w:type="dxa"/>
          </w:tcPr>
          <w:p w:rsidR="005B5830" w:rsidRPr="005B5830" w:rsidRDefault="005B5830" w:rsidP="008045E6">
            <w:pPr>
              <w:pStyle w:val="NoSpacing"/>
              <w:jc w:val="center"/>
              <w:rPr>
                <w:rFonts w:ascii="Arial" w:hAnsi="Arial" w:cs="Arial"/>
                <w:b/>
                <w:i/>
              </w:rPr>
            </w:pPr>
            <w:r w:rsidRPr="005B5830">
              <w:rPr>
                <w:rFonts w:ascii="Arial" w:hAnsi="Arial" w:cs="Arial"/>
                <w:b/>
                <w:i/>
              </w:rPr>
              <w:t>Corporate Function</w:t>
            </w:r>
          </w:p>
        </w:tc>
        <w:tc>
          <w:tcPr>
            <w:tcW w:w="1272" w:type="dxa"/>
            <w:shd w:val="clear" w:color="auto" w:fill="FFF2CC" w:themeFill="accent4" w:themeFillTint="33"/>
          </w:tcPr>
          <w:p w:rsidR="005B5830" w:rsidRDefault="005B5830" w:rsidP="008045E6">
            <w:pPr>
              <w:pStyle w:val="NoSpacing"/>
              <w:jc w:val="center"/>
              <w:rPr>
                <w:rFonts w:ascii="Arial" w:hAnsi="Arial" w:cs="Arial"/>
                <w:i/>
              </w:rPr>
            </w:pPr>
            <w:r w:rsidRPr="004E3511">
              <w:rPr>
                <w:rFonts w:ascii="Arial" w:hAnsi="Arial" w:cs="Arial"/>
                <w:i/>
              </w:rPr>
              <w:t>One Wairarapa Council</w:t>
            </w:r>
          </w:p>
          <w:p w:rsidR="005B5830" w:rsidRDefault="005B5830" w:rsidP="008045E6">
            <w:pPr>
              <w:pStyle w:val="NoSpacing"/>
              <w:jc w:val="center"/>
              <w:rPr>
                <w:rFonts w:ascii="Arial" w:hAnsi="Arial" w:cs="Arial"/>
                <w:i/>
              </w:rPr>
            </w:pPr>
            <w:r>
              <w:rPr>
                <w:rFonts w:ascii="Arial" w:hAnsi="Arial" w:cs="Arial"/>
                <w:i/>
              </w:rPr>
              <w:t>Corporate FTEs</w:t>
            </w:r>
          </w:p>
          <w:p w:rsidR="005B5830" w:rsidRPr="004E3511" w:rsidRDefault="005B5830" w:rsidP="008045E6">
            <w:pPr>
              <w:pStyle w:val="NoSpacing"/>
              <w:jc w:val="center"/>
              <w:rPr>
                <w:rFonts w:ascii="Arial" w:hAnsi="Arial" w:cs="Arial"/>
                <w:i/>
              </w:rPr>
            </w:pPr>
            <w:r>
              <w:rPr>
                <w:rFonts w:ascii="Arial" w:hAnsi="Arial" w:cs="Arial"/>
                <w:i/>
              </w:rPr>
              <w:t>June 2013</w:t>
            </w:r>
          </w:p>
        </w:tc>
        <w:tc>
          <w:tcPr>
            <w:tcW w:w="1231" w:type="dxa"/>
            <w:shd w:val="clear" w:color="auto" w:fill="FFF2CC" w:themeFill="accent4" w:themeFillTint="33"/>
          </w:tcPr>
          <w:p w:rsidR="005B5830" w:rsidRDefault="005B5830" w:rsidP="008045E6">
            <w:pPr>
              <w:pStyle w:val="NoSpacing"/>
              <w:jc w:val="center"/>
              <w:rPr>
                <w:rFonts w:ascii="Arial" w:hAnsi="Arial" w:cs="Arial"/>
                <w:i/>
              </w:rPr>
            </w:pPr>
            <w:r w:rsidRPr="004E3511">
              <w:rPr>
                <w:rFonts w:ascii="Arial" w:hAnsi="Arial" w:cs="Arial"/>
                <w:i/>
              </w:rPr>
              <w:t>One Wairarapa Council</w:t>
            </w:r>
          </w:p>
          <w:p w:rsidR="005B5830" w:rsidRDefault="005B5830" w:rsidP="008045E6">
            <w:pPr>
              <w:pStyle w:val="NoSpacing"/>
              <w:jc w:val="center"/>
              <w:rPr>
                <w:rFonts w:ascii="Arial" w:hAnsi="Arial" w:cs="Arial"/>
                <w:i/>
              </w:rPr>
            </w:pPr>
            <w:r>
              <w:rPr>
                <w:rFonts w:ascii="Arial" w:hAnsi="Arial" w:cs="Arial"/>
                <w:i/>
              </w:rPr>
              <w:t xml:space="preserve">Corporate </w:t>
            </w:r>
          </w:p>
          <w:p w:rsidR="005B5830" w:rsidRDefault="005B5830" w:rsidP="008045E6">
            <w:pPr>
              <w:pStyle w:val="NoSpacing"/>
              <w:jc w:val="center"/>
              <w:rPr>
                <w:rFonts w:ascii="Arial" w:hAnsi="Arial" w:cs="Arial"/>
                <w:i/>
              </w:rPr>
            </w:pPr>
            <w:r>
              <w:rPr>
                <w:rFonts w:ascii="Arial" w:hAnsi="Arial" w:cs="Arial"/>
                <w:i/>
              </w:rPr>
              <w:t>Assessed</w:t>
            </w:r>
          </w:p>
          <w:p w:rsidR="005B5830" w:rsidRDefault="005B5830" w:rsidP="008045E6">
            <w:pPr>
              <w:pStyle w:val="NoSpacing"/>
              <w:jc w:val="center"/>
              <w:rPr>
                <w:rFonts w:ascii="Arial" w:hAnsi="Arial" w:cs="Arial"/>
                <w:i/>
              </w:rPr>
            </w:pPr>
            <w:r>
              <w:rPr>
                <w:rFonts w:ascii="Arial" w:hAnsi="Arial" w:cs="Arial"/>
                <w:i/>
              </w:rPr>
              <w:t>FTEs</w:t>
            </w:r>
          </w:p>
          <w:p w:rsidR="005B5830" w:rsidRPr="004E3511" w:rsidRDefault="005B5830" w:rsidP="008045E6">
            <w:pPr>
              <w:pStyle w:val="NoSpacing"/>
              <w:jc w:val="center"/>
              <w:rPr>
                <w:rFonts w:ascii="Arial" w:hAnsi="Arial" w:cs="Arial"/>
                <w:i/>
              </w:rPr>
            </w:pPr>
            <w:r>
              <w:rPr>
                <w:rFonts w:ascii="Arial" w:hAnsi="Arial" w:cs="Arial"/>
                <w:i/>
              </w:rPr>
              <w:t>Future</w:t>
            </w:r>
          </w:p>
        </w:tc>
        <w:tc>
          <w:tcPr>
            <w:tcW w:w="1482" w:type="dxa"/>
            <w:shd w:val="clear" w:color="auto" w:fill="DEEAF6" w:themeFill="accent1" w:themeFillTint="33"/>
          </w:tcPr>
          <w:p w:rsidR="005B5830" w:rsidRDefault="005B5830" w:rsidP="008045E6">
            <w:pPr>
              <w:pStyle w:val="NoSpacing"/>
              <w:jc w:val="center"/>
              <w:rPr>
                <w:rFonts w:ascii="Arial" w:hAnsi="Arial" w:cs="Arial"/>
                <w:i/>
              </w:rPr>
            </w:pPr>
            <w:r w:rsidRPr="004E3511">
              <w:rPr>
                <w:rFonts w:ascii="Arial" w:hAnsi="Arial" w:cs="Arial"/>
                <w:i/>
              </w:rPr>
              <w:t>One Hutt Council</w:t>
            </w:r>
          </w:p>
          <w:p w:rsidR="005B5830" w:rsidRDefault="005B5830" w:rsidP="008045E6">
            <w:pPr>
              <w:pStyle w:val="NoSpacing"/>
              <w:jc w:val="center"/>
              <w:rPr>
                <w:rFonts w:ascii="Arial" w:hAnsi="Arial" w:cs="Arial"/>
                <w:i/>
              </w:rPr>
            </w:pPr>
            <w:r>
              <w:rPr>
                <w:rFonts w:ascii="Arial" w:hAnsi="Arial" w:cs="Arial"/>
                <w:i/>
              </w:rPr>
              <w:t>Corporate FTEs</w:t>
            </w:r>
          </w:p>
          <w:p w:rsidR="005B5830" w:rsidRDefault="005B5830" w:rsidP="008045E6">
            <w:pPr>
              <w:pStyle w:val="NoSpacing"/>
              <w:jc w:val="center"/>
              <w:rPr>
                <w:rFonts w:ascii="Arial" w:hAnsi="Arial" w:cs="Arial"/>
                <w:i/>
              </w:rPr>
            </w:pPr>
          </w:p>
          <w:p w:rsidR="005B5830" w:rsidRPr="004E3511" w:rsidRDefault="005B5830" w:rsidP="008045E6">
            <w:pPr>
              <w:pStyle w:val="NoSpacing"/>
              <w:jc w:val="center"/>
              <w:rPr>
                <w:rFonts w:ascii="Arial" w:hAnsi="Arial" w:cs="Arial"/>
                <w:i/>
              </w:rPr>
            </w:pPr>
            <w:r>
              <w:rPr>
                <w:rFonts w:ascii="Arial" w:hAnsi="Arial" w:cs="Arial"/>
                <w:i/>
              </w:rPr>
              <w:t>June 2013</w:t>
            </w:r>
          </w:p>
        </w:tc>
        <w:tc>
          <w:tcPr>
            <w:tcW w:w="1205" w:type="dxa"/>
            <w:shd w:val="clear" w:color="auto" w:fill="DEEAF6" w:themeFill="accent1" w:themeFillTint="33"/>
          </w:tcPr>
          <w:p w:rsidR="005B5830" w:rsidRDefault="005B5830" w:rsidP="008045E6">
            <w:pPr>
              <w:pStyle w:val="NoSpacing"/>
              <w:jc w:val="center"/>
              <w:rPr>
                <w:rFonts w:ascii="Arial" w:hAnsi="Arial" w:cs="Arial"/>
                <w:i/>
              </w:rPr>
            </w:pPr>
            <w:r w:rsidRPr="004E3511">
              <w:rPr>
                <w:rFonts w:ascii="Arial" w:hAnsi="Arial" w:cs="Arial"/>
                <w:i/>
              </w:rPr>
              <w:t>One Hutt Council</w:t>
            </w:r>
          </w:p>
          <w:p w:rsidR="005B5830" w:rsidRDefault="005B5830" w:rsidP="008045E6">
            <w:pPr>
              <w:pStyle w:val="NoSpacing"/>
              <w:jc w:val="center"/>
              <w:rPr>
                <w:rFonts w:ascii="Arial" w:hAnsi="Arial" w:cs="Arial"/>
                <w:i/>
              </w:rPr>
            </w:pPr>
            <w:r>
              <w:rPr>
                <w:rFonts w:ascii="Arial" w:hAnsi="Arial" w:cs="Arial"/>
                <w:i/>
              </w:rPr>
              <w:t>Corporate FTEs</w:t>
            </w:r>
          </w:p>
          <w:p w:rsidR="005B5830" w:rsidRDefault="005B5830" w:rsidP="008045E6">
            <w:pPr>
              <w:pStyle w:val="NoSpacing"/>
              <w:jc w:val="center"/>
              <w:rPr>
                <w:rFonts w:ascii="Arial" w:hAnsi="Arial" w:cs="Arial"/>
                <w:i/>
              </w:rPr>
            </w:pPr>
          </w:p>
          <w:p w:rsidR="005B5830" w:rsidRPr="004E3511" w:rsidRDefault="005B5830" w:rsidP="008045E6">
            <w:pPr>
              <w:pStyle w:val="NoSpacing"/>
              <w:jc w:val="center"/>
              <w:rPr>
                <w:rFonts w:ascii="Arial" w:hAnsi="Arial" w:cs="Arial"/>
                <w:i/>
              </w:rPr>
            </w:pPr>
            <w:r>
              <w:rPr>
                <w:rFonts w:ascii="Arial" w:hAnsi="Arial" w:cs="Arial"/>
                <w:i/>
              </w:rPr>
              <w:t>Future</w:t>
            </w:r>
          </w:p>
        </w:tc>
        <w:tc>
          <w:tcPr>
            <w:tcW w:w="1314" w:type="dxa"/>
            <w:shd w:val="clear" w:color="auto" w:fill="FFFF00"/>
          </w:tcPr>
          <w:p w:rsidR="005B5830" w:rsidRDefault="005B5830" w:rsidP="008045E6">
            <w:pPr>
              <w:pStyle w:val="NoSpacing"/>
              <w:jc w:val="center"/>
              <w:rPr>
                <w:rFonts w:ascii="Arial" w:hAnsi="Arial" w:cs="Arial"/>
                <w:i/>
              </w:rPr>
            </w:pPr>
            <w:r>
              <w:rPr>
                <w:rFonts w:ascii="Arial" w:hAnsi="Arial" w:cs="Arial"/>
                <w:i/>
              </w:rPr>
              <w:t>One Northern</w:t>
            </w:r>
          </w:p>
          <w:p w:rsidR="005B5830" w:rsidRDefault="005B5830" w:rsidP="008045E6">
            <w:pPr>
              <w:pStyle w:val="NoSpacing"/>
              <w:jc w:val="center"/>
              <w:rPr>
                <w:rFonts w:ascii="Arial" w:hAnsi="Arial" w:cs="Arial"/>
                <w:i/>
              </w:rPr>
            </w:pPr>
            <w:r w:rsidRPr="004E3511">
              <w:rPr>
                <w:rFonts w:ascii="Arial" w:hAnsi="Arial" w:cs="Arial"/>
                <w:i/>
              </w:rPr>
              <w:t>Western Council</w:t>
            </w:r>
          </w:p>
          <w:p w:rsidR="005B5830" w:rsidRDefault="005B5830" w:rsidP="008045E6">
            <w:pPr>
              <w:pStyle w:val="NoSpacing"/>
              <w:jc w:val="center"/>
              <w:rPr>
                <w:rFonts w:ascii="Arial" w:hAnsi="Arial" w:cs="Arial"/>
                <w:i/>
              </w:rPr>
            </w:pPr>
            <w:r>
              <w:rPr>
                <w:rFonts w:ascii="Arial" w:hAnsi="Arial" w:cs="Arial"/>
                <w:i/>
              </w:rPr>
              <w:t>FTEs</w:t>
            </w:r>
          </w:p>
          <w:p w:rsidR="005B5830" w:rsidRPr="004E3511" w:rsidRDefault="005B5830" w:rsidP="008045E6">
            <w:pPr>
              <w:pStyle w:val="NoSpacing"/>
              <w:jc w:val="center"/>
              <w:rPr>
                <w:rFonts w:ascii="Arial" w:hAnsi="Arial" w:cs="Arial"/>
                <w:i/>
              </w:rPr>
            </w:pPr>
            <w:r>
              <w:rPr>
                <w:rFonts w:ascii="Arial" w:hAnsi="Arial" w:cs="Arial"/>
                <w:i/>
              </w:rPr>
              <w:t>June 2013</w:t>
            </w:r>
          </w:p>
        </w:tc>
        <w:tc>
          <w:tcPr>
            <w:tcW w:w="1297" w:type="dxa"/>
            <w:shd w:val="clear" w:color="auto" w:fill="FFFF00"/>
          </w:tcPr>
          <w:p w:rsidR="005B5830" w:rsidRDefault="005B5830" w:rsidP="008045E6">
            <w:pPr>
              <w:pStyle w:val="NoSpacing"/>
              <w:jc w:val="center"/>
              <w:rPr>
                <w:rFonts w:ascii="Arial" w:hAnsi="Arial" w:cs="Arial"/>
                <w:i/>
              </w:rPr>
            </w:pPr>
            <w:r>
              <w:rPr>
                <w:rFonts w:ascii="Arial" w:hAnsi="Arial" w:cs="Arial"/>
                <w:i/>
              </w:rPr>
              <w:t>One Northern</w:t>
            </w:r>
          </w:p>
          <w:p w:rsidR="005B5830" w:rsidRDefault="005B5830" w:rsidP="008045E6">
            <w:pPr>
              <w:pStyle w:val="NoSpacing"/>
              <w:jc w:val="center"/>
              <w:rPr>
                <w:rFonts w:ascii="Arial" w:hAnsi="Arial" w:cs="Arial"/>
                <w:i/>
              </w:rPr>
            </w:pPr>
            <w:r w:rsidRPr="004E3511">
              <w:rPr>
                <w:rFonts w:ascii="Arial" w:hAnsi="Arial" w:cs="Arial"/>
                <w:i/>
              </w:rPr>
              <w:t>Western Council</w:t>
            </w:r>
          </w:p>
          <w:p w:rsidR="005B5830" w:rsidRDefault="005B5830" w:rsidP="008045E6">
            <w:pPr>
              <w:pStyle w:val="NoSpacing"/>
              <w:jc w:val="center"/>
              <w:rPr>
                <w:rFonts w:ascii="Arial" w:hAnsi="Arial" w:cs="Arial"/>
                <w:i/>
              </w:rPr>
            </w:pPr>
            <w:r>
              <w:rPr>
                <w:rFonts w:ascii="Arial" w:hAnsi="Arial" w:cs="Arial"/>
                <w:i/>
              </w:rPr>
              <w:t>FTEs</w:t>
            </w:r>
          </w:p>
          <w:p w:rsidR="005B5830" w:rsidRDefault="005B5830" w:rsidP="008045E6">
            <w:pPr>
              <w:pStyle w:val="NoSpacing"/>
              <w:jc w:val="center"/>
              <w:rPr>
                <w:rFonts w:ascii="Arial" w:hAnsi="Arial" w:cs="Arial"/>
                <w:i/>
              </w:rPr>
            </w:pPr>
            <w:r>
              <w:rPr>
                <w:rFonts w:ascii="Arial" w:hAnsi="Arial" w:cs="Arial"/>
                <w:i/>
              </w:rPr>
              <w:t>Future</w:t>
            </w:r>
          </w:p>
          <w:p w:rsidR="005B5830" w:rsidRDefault="005B5830" w:rsidP="008045E6">
            <w:pPr>
              <w:pStyle w:val="NoSpacing"/>
              <w:jc w:val="center"/>
              <w:rPr>
                <w:rFonts w:ascii="Arial" w:hAnsi="Arial" w:cs="Arial"/>
                <w:i/>
              </w:rPr>
            </w:pPr>
          </w:p>
        </w:tc>
      </w:tr>
      <w:tr w:rsidR="005B5830" w:rsidRPr="004E3511" w:rsidTr="00994ECA">
        <w:trPr>
          <w:trHeight w:val="537"/>
        </w:trPr>
        <w:tc>
          <w:tcPr>
            <w:tcW w:w="3215" w:type="dxa"/>
          </w:tcPr>
          <w:p w:rsidR="005B5830" w:rsidRPr="005B5830" w:rsidRDefault="005B5830" w:rsidP="005B5830">
            <w:pPr>
              <w:pStyle w:val="NoSpacing"/>
              <w:rPr>
                <w:rFonts w:ascii="Arial" w:hAnsi="Arial" w:cs="Arial"/>
              </w:rPr>
            </w:pPr>
            <w:r w:rsidRPr="005B5830">
              <w:rPr>
                <w:rFonts w:ascii="Arial" w:hAnsi="Arial" w:cs="Arial"/>
              </w:rPr>
              <w:t>Finance</w:t>
            </w:r>
          </w:p>
        </w:tc>
        <w:tc>
          <w:tcPr>
            <w:tcW w:w="1272" w:type="dxa"/>
            <w:shd w:val="clear" w:color="auto" w:fill="FFF2CC" w:themeFill="accent4" w:themeFillTint="33"/>
          </w:tcPr>
          <w:p w:rsidR="005B5830" w:rsidRPr="006F131C" w:rsidRDefault="005B5830" w:rsidP="00994ECA">
            <w:pPr>
              <w:pStyle w:val="NoSpacing"/>
              <w:jc w:val="center"/>
              <w:rPr>
                <w:rFonts w:ascii="Arial" w:hAnsi="Arial" w:cs="Arial"/>
              </w:rPr>
            </w:pPr>
            <w:r w:rsidRPr="006F131C">
              <w:rPr>
                <w:rFonts w:ascii="Arial" w:hAnsi="Arial" w:cs="Arial"/>
              </w:rPr>
              <w:t>15.2</w:t>
            </w:r>
          </w:p>
          <w:p w:rsidR="005B5830" w:rsidRPr="006F131C" w:rsidRDefault="005B5830" w:rsidP="00994ECA">
            <w:pPr>
              <w:pStyle w:val="NoSpacing"/>
              <w:jc w:val="center"/>
              <w:rPr>
                <w:rFonts w:ascii="Arial" w:hAnsi="Arial" w:cs="Arial"/>
              </w:rPr>
            </w:pPr>
          </w:p>
        </w:tc>
        <w:tc>
          <w:tcPr>
            <w:tcW w:w="1231" w:type="dxa"/>
            <w:shd w:val="clear" w:color="auto" w:fill="FFF2CC" w:themeFill="accent4" w:themeFillTint="33"/>
          </w:tcPr>
          <w:p w:rsidR="005B5830" w:rsidRPr="004E3511" w:rsidRDefault="005B5830" w:rsidP="00994ECA">
            <w:pPr>
              <w:pStyle w:val="NoSpacing"/>
              <w:jc w:val="center"/>
              <w:rPr>
                <w:rFonts w:ascii="Arial" w:hAnsi="Arial" w:cs="Arial"/>
                <w:b/>
              </w:rPr>
            </w:pPr>
            <w:r>
              <w:rPr>
                <w:rFonts w:ascii="Arial" w:hAnsi="Arial" w:cs="Arial"/>
                <w:b/>
              </w:rPr>
              <w:t>13</w:t>
            </w:r>
          </w:p>
        </w:tc>
        <w:tc>
          <w:tcPr>
            <w:tcW w:w="1482" w:type="dxa"/>
            <w:shd w:val="clear" w:color="auto" w:fill="DEEAF6" w:themeFill="accent1" w:themeFillTint="33"/>
          </w:tcPr>
          <w:p w:rsidR="005B5830" w:rsidRPr="006F131C" w:rsidRDefault="005B5830" w:rsidP="00994ECA">
            <w:pPr>
              <w:pStyle w:val="NoSpacing"/>
              <w:jc w:val="center"/>
              <w:rPr>
                <w:rFonts w:ascii="Arial" w:hAnsi="Arial" w:cs="Arial"/>
              </w:rPr>
            </w:pPr>
            <w:r w:rsidRPr="006F131C">
              <w:rPr>
                <w:rFonts w:ascii="Arial" w:hAnsi="Arial" w:cs="Arial"/>
              </w:rPr>
              <w:t>27</w:t>
            </w:r>
          </w:p>
        </w:tc>
        <w:tc>
          <w:tcPr>
            <w:tcW w:w="1205" w:type="dxa"/>
            <w:shd w:val="clear" w:color="auto" w:fill="DEEAF6" w:themeFill="accent1" w:themeFillTint="33"/>
          </w:tcPr>
          <w:p w:rsidR="005B5830" w:rsidRPr="004E3511" w:rsidRDefault="005B5830" w:rsidP="00994ECA">
            <w:pPr>
              <w:pStyle w:val="NoSpacing"/>
              <w:jc w:val="center"/>
              <w:rPr>
                <w:rFonts w:ascii="Arial" w:hAnsi="Arial" w:cs="Arial"/>
                <w:b/>
              </w:rPr>
            </w:pPr>
            <w:r>
              <w:rPr>
                <w:rFonts w:ascii="Arial" w:hAnsi="Arial" w:cs="Arial"/>
                <w:b/>
              </w:rPr>
              <w:t>20</w:t>
            </w:r>
          </w:p>
        </w:tc>
        <w:tc>
          <w:tcPr>
            <w:tcW w:w="1314" w:type="dxa"/>
            <w:shd w:val="clear" w:color="auto" w:fill="FFFF00"/>
          </w:tcPr>
          <w:p w:rsidR="005B5830" w:rsidRPr="006F131C" w:rsidRDefault="005B5830" w:rsidP="00994ECA">
            <w:pPr>
              <w:pStyle w:val="NoSpacing"/>
              <w:jc w:val="center"/>
              <w:rPr>
                <w:rFonts w:ascii="Arial" w:hAnsi="Arial" w:cs="Arial"/>
              </w:rPr>
            </w:pPr>
            <w:r w:rsidRPr="006F131C">
              <w:rPr>
                <w:rFonts w:ascii="Arial" w:hAnsi="Arial" w:cs="Arial"/>
              </w:rPr>
              <w:t>91</w:t>
            </w:r>
            <w:r>
              <w:rPr>
                <w:rFonts w:ascii="Arial" w:hAnsi="Arial" w:cs="Arial"/>
              </w:rPr>
              <w:t>.3</w:t>
            </w:r>
          </w:p>
        </w:tc>
        <w:tc>
          <w:tcPr>
            <w:tcW w:w="1297" w:type="dxa"/>
            <w:shd w:val="clear" w:color="auto" w:fill="FFFF00"/>
          </w:tcPr>
          <w:p w:rsidR="005B5830" w:rsidRPr="004E3511" w:rsidRDefault="005B5830" w:rsidP="00994ECA">
            <w:pPr>
              <w:pStyle w:val="NoSpacing"/>
              <w:jc w:val="center"/>
              <w:rPr>
                <w:rFonts w:ascii="Arial" w:hAnsi="Arial" w:cs="Arial"/>
                <w:b/>
              </w:rPr>
            </w:pPr>
            <w:r>
              <w:rPr>
                <w:rFonts w:ascii="Arial" w:hAnsi="Arial" w:cs="Arial"/>
                <w:b/>
              </w:rPr>
              <w:t>55</w:t>
            </w:r>
          </w:p>
        </w:tc>
      </w:tr>
      <w:tr w:rsidR="005B5830" w:rsidRPr="004E3511" w:rsidTr="00994ECA">
        <w:trPr>
          <w:trHeight w:val="477"/>
        </w:trPr>
        <w:tc>
          <w:tcPr>
            <w:tcW w:w="3215" w:type="dxa"/>
          </w:tcPr>
          <w:p w:rsidR="005B5830" w:rsidRPr="005B5830" w:rsidRDefault="005B5830" w:rsidP="005B5830">
            <w:pPr>
              <w:pStyle w:val="NoSpacing"/>
              <w:rPr>
                <w:rFonts w:ascii="Arial" w:hAnsi="Arial" w:cs="Arial"/>
              </w:rPr>
            </w:pPr>
            <w:r w:rsidRPr="005B5830">
              <w:rPr>
                <w:rFonts w:ascii="Arial" w:hAnsi="Arial" w:cs="Arial"/>
              </w:rPr>
              <w:t>IT</w:t>
            </w:r>
          </w:p>
          <w:p w:rsidR="005B5830" w:rsidRPr="005B5830" w:rsidRDefault="005B5830" w:rsidP="005B5830">
            <w:pPr>
              <w:pStyle w:val="NoSpacing"/>
              <w:rPr>
                <w:rFonts w:ascii="Arial" w:hAnsi="Arial" w:cs="Arial"/>
              </w:rPr>
            </w:pPr>
          </w:p>
        </w:tc>
        <w:tc>
          <w:tcPr>
            <w:tcW w:w="1272" w:type="dxa"/>
            <w:shd w:val="clear" w:color="auto" w:fill="FFF2CC" w:themeFill="accent4" w:themeFillTint="33"/>
          </w:tcPr>
          <w:p w:rsidR="005B5830" w:rsidRPr="006F131C" w:rsidRDefault="005B5830" w:rsidP="00994ECA">
            <w:pPr>
              <w:pStyle w:val="NoSpacing"/>
              <w:jc w:val="center"/>
              <w:rPr>
                <w:rFonts w:ascii="Arial" w:hAnsi="Arial" w:cs="Arial"/>
              </w:rPr>
            </w:pPr>
            <w:r w:rsidRPr="006F131C">
              <w:rPr>
                <w:rFonts w:ascii="Arial" w:hAnsi="Arial" w:cs="Arial"/>
              </w:rPr>
              <w:t>2.2</w:t>
            </w:r>
          </w:p>
        </w:tc>
        <w:tc>
          <w:tcPr>
            <w:tcW w:w="1231" w:type="dxa"/>
            <w:shd w:val="clear" w:color="auto" w:fill="FFF2CC" w:themeFill="accent4" w:themeFillTint="33"/>
          </w:tcPr>
          <w:p w:rsidR="005B5830" w:rsidRPr="004E3511" w:rsidRDefault="005B5830" w:rsidP="00994ECA">
            <w:pPr>
              <w:pStyle w:val="NoSpacing"/>
              <w:jc w:val="center"/>
              <w:rPr>
                <w:rFonts w:ascii="Arial" w:hAnsi="Arial" w:cs="Arial"/>
                <w:b/>
              </w:rPr>
            </w:pPr>
            <w:r>
              <w:rPr>
                <w:rFonts w:ascii="Arial" w:hAnsi="Arial" w:cs="Arial"/>
                <w:b/>
              </w:rPr>
              <w:t>4</w:t>
            </w:r>
          </w:p>
        </w:tc>
        <w:tc>
          <w:tcPr>
            <w:tcW w:w="1482" w:type="dxa"/>
            <w:shd w:val="clear" w:color="auto" w:fill="DEEAF6" w:themeFill="accent1" w:themeFillTint="33"/>
          </w:tcPr>
          <w:p w:rsidR="005B5830" w:rsidRPr="006F131C" w:rsidRDefault="005B5830" w:rsidP="00994ECA">
            <w:pPr>
              <w:pStyle w:val="NoSpacing"/>
              <w:jc w:val="center"/>
              <w:rPr>
                <w:rFonts w:ascii="Arial" w:hAnsi="Arial" w:cs="Arial"/>
              </w:rPr>
            </w:pPr>
            <w:r w:rsidRPr="006F131C">
              <w:rPr>
                <w:rFonts w:ascii="Arial" w:hAnsi="Arial" w:cs="Arial"/>
              </w:rPr>
              <w:t>26</w:t>
            </w:r>
            <w:r>
              <w:rPr>
                <w:rFonts w:ascii="Arial" w:hAnsi="Arial" w:cs="Arial"/>
              </w:rPr>
              <w:t>.2</w:t>
            </w:r>
          </w:p>
        </w:tc>
        <w:tc>
          <w:tcPr>
            <w:tcW w:w="1205" w:type="dxa"/>
            <w:shd w:val="clear" w:color="auto" w:fill="DEEAF6" w:themeFill="accent1" w:themeFillTint="33"/>
          </w:tcPr>
          <w:p w:rsidR="005B5830" w:rsidRPr="004E3511" w:rsidRDefault="005B5830" w:rsidP="00994ECA">
            <w:pPr>
              <w:pStyle w:val="NoSpacing"/>
              <w:jc w:val="center"/>
              <w:rPr>
                <w:rFonts w:ascii="Arial" w:hAnsi="Arial" w:cs="Arial"/>
                <w:b/>
              </w:rPr>
            </w:pPr>
            <w:r>
              <w:rPr>
                <w:rFonts w:ascii="Arial" w:hAnsi="Arial" w:cs="Arial"/>
                <w:b/>
              </w:rPr>
              <w:t>20</w:t>
            </w:r>
          </w:p>
        </w:tc>
        <w:tc>
          <w:tcPr>
            <w:tcW w:w="1314" w:type="dxa"/>
            <w:shd w:val="clear" w:color="auto" w:fill="FFFF00"/>
          </w:tcPr>
          <w:p w:rsidR="005B5830" w:rsidRPr="006F131C" w:rsidRDefault="005B5830" w:rsidP="00994ECA">
            <w:pPr>
              <w:pStyle w:val="NoSpacing"/>
              <w:jc w:val="center"/>
              <w:rPr>
                <w:rFonts w:ascii="Arial" w:hAnsi="Arial" w:cs="Arial"/>
              </w:rPr>
            </w:pPr>
            <w:r w:rsidRPr="006F131C">
              <w:rPr>
                <w:rFonts w:ascii="Arial" w:hAnsi="Arial" w:cs="Arial"/>
              </w:rPr>
              <w:t>56.6</w:t>
            </w:r>
          </w:p>
        </w:tc>
        <w:tc>
          <w:tcPr>
            <w:tcW w:w="1297" w:type="dxa"/>
            <w:shd w:val="clear" w:color="auto" w:fill="FFFF00"/>
          </w:tcPr>
          <w:p w:rsidR="005B5830" w:rsidRPr="004E3511" w:rsidRDefault="005B5830" w:rsidP="00994ECA">
            <w:pPr>
              <w:pStyle w:val="NoSpacing"/>
              <w:jc w:val="center"/>
              <w:rPr>
                <w:rFonts w:ascii="Arial" w:hAnsi="Arial" w:cs="Arial"/>
                <w:b/>
              </w:rPr>
            </w:pPr>
            <w:r>
              <w:rPr>
                <w:rFonts w:ascii="Arial" w:hAnsi="Arial" w:cs="Arial"/>
                <w:b/>
              </w:rPr>
              <w:t>80</w:t>
            </w:r>
          </w:p>
        </w:tc>
      </w:tr>
      <w:tr w:rsidR="005B5830" w:rsidRPr="004E3511" w:rsidTr="00994ECA">
        <w:tc>
          <w:tcPr>
            <w:tcW w:w="3215" w:type="dxa"/>
          </w:tcPr>
          <w:p w:rsidR="005B5830" w:rsidRPr="005B5830" w:rsidRDefault="005B5830" w:rsidP="005B5830">
            <w:pPr>
              <w:pStyle w:val="NoSpacing"/>
              <w:rPr>
                <w:rFonts w:ascii="Arial" w:hAnsi="Arial" w:cs="Arial"/>
              </w:rPr>
            </w:pPr>
            <w:r w:rsidRPr="005B5830">
              <w:rPr>
                <w:rFonts w:ascii="Arial" w:hAnsi="Arial" w:cs="Arial"/>
              </w:rPr>
              <w:t>Communications</w:t>
            </w:r>
          </w:p>
          <w:p w:rsidR="005B5830" w:rsidRPr="005B5830" w:rsidRDefault="005B5830" w:rsidP="005B5830">
            <w:pPr>
              <w:pStyle w:val="NoSpacing"/>
              <w:rPr>
                <w:rFonts w:ascii="Arial" w:hAnsi="Arial" w:cs="Arial"/>
              </w:rPr>
            </w:pPr>
          </w:p>
        </w:tc>
        <w:tc>
          <w:tcPr>
            <w:tcW w:w="1272" w:type="dxa"/>
            <w:shd w:val="clear" w:color="auto" w:fill="FFF2CC" w:themeFill="accent4" w:themeFillTint="33"/>
          </w:tcPr>
          <w:p w:rsidR="005B5830" w:rsidRPr="006F131C" w:rsidRDefault="005B5830" w:rsidP="00994ECA">
            <w:pPr>
              <w:pStyle w:val="NoSpacing"/>
              <w:jc w:val="center"/>
              <w:rPr>
                <w:rFonts w:ascii="Arial" w:hAnsi="Arial" w:cs="Arial"/>
              </w:rPr>
            </w:pPr>
            <w:r w:rsidRPr="006F131C">
              <w:rPr>
                <w:rFonts w:ascii="Arial" w:hAnsi="Arial" w:cs="Arial"/>
              </w:rPr>
              <w:t>1</w:t>
            </w:r>
          </w:p>
        </w:tc>
        <w:tc>
          <w:tcPr>
            <w:tcW w:w="1231" w:type="dxa"/>
            <w:shd w:val="clear" w:color="auto" w:fill="FFF2CC" w:themeFill="accent4" w:themeFillTint="33"/>
          </w:tcPr>
          <w:p w:rsidR="005B5830" w:rsidRPr="004E3511" w:rsidRDefault="005B5830" w:rsidP="00994ECA">
            <w:pPr>
              <w:pStyle w:val="NoSpacing"/>
              <w:jc w:val="center"/>
              <w:rPr>
                <w:rFonts w:ascii="Arial" w:hAnsi="Arial" w:cs="Arial"/>
                <w:b/>
              </w:rPr>
            </w:pPr>
            <w:r>
              <w:rPr>
                <w:rFonts w:ascii="Arial" w:hAnsi="Arial" w:cs="Arial"/>
                <w:b/>
              </w:rPr>
              <w:t>1.5</w:t>
            </w:r>
          </w:p>
        </w:tc>
        <w:tc>
          <w:tcPr>
            <w:tcW w:w="1482" w:type="dxa"/>
            <w:shd w:val="clear" w:color="auto" w:fill="DEEAF6" w:themeFill="accent1" w:themeFillTint="33"/>
          </w:tcPr>
          <w:p w:rsidR="005B5830" w:rsidRPr="006F131C" w:rsidRDefault="005B5830" w:rsidP="00994ECA">
            <w:pPr>
              <w:pStyle w:val="NoSpacing"/>
              <w:jc w:val="center"/>
              <w:rPr>
                <w:rFonts w:ascii="Arial" w:hAnsi="Arial" w:cs="Arial"/>
              </w:rPr>
            </w:pPr>
            <w:r>
              <w:rPr>
                <w:rFonts w:ascii="Arial" w:hAnsi="Arial" w:cs="Arial"/>
              </w:rPr>
              <w:t>8.3</w:t>
            </w:r>
          </w:p>
        </w:tc>
        <w:tc>
          <w:tcPr>
            <w:tcW w:w="1205" w:type="dxa"/>
            <w:shd w:val="clear" w:color="auto" w:fill="DEEAF6" w:themeFill="accent1" w:themeFillTint="33"/>
          </w:tcPr>
          <w:p w:rsidR="005B5830" w:rsidRPr="004E3511" w:rsidRDefault="005B5830" w:rsidP="00994ECA">
            <w:pPr>
              <w:pStyle w:val="NoSpacing"/>
              <w:jc w:val="center"/>
              <w:rPr>
                <w:rFonts w:ascii="Arial" w:hAnsi="Arial" w:cs="Arial"/>
                <w:b/>
              </w:rPr>
            </w:pPr>
            <w:r>
              <w:rPr>
                <w:rFonts w:ascii="Arial" w:hAnsi="Arial" w:cs="Arial"/>
                <w:b/>
              </w:rPr>
              <w:t>5</w:t>
            </w:r>
          </w:p>
        </w:tc>
        <w:tc>
          <w:tcPr>
            <w:tcW w:w="1314" w:type="dxa"/>
            <w:shd w:val="clear" w:color="auto" w:fill="FFFF00"/>
          </w:tcPr>
          <w:p w:rsidR="005B5830" w:rsidRPr="006F131C" w:rsidRDefault="005B5830" w:rsidP="00994ECA">
            <w:pPr>
              <w:pStyle w:val="NoSpacing"/>
              <w:jc w:val="center"/>
              <w:rPr>
                <w:rFonts w:ascii="Arial" w:hAnsi="Arial" w:cs="Arial"/>
              </w:rPr>
            </w:pPr>
            <w:r>
              <w:rPr>
                <w:rFonts w:ascii="Arial" w:hAnsi="Arial" w:cs="Arial"/>
              </w:rPr>
              <w:t>30.3</w:t>
            </w:r>
          </w:p>
        </w:tc>
        <w:tc>
          <w:tcPr>
            <w:tcW w:w="1297" w:type="dxa"/>
            <w:shd w:val="clear" w:color="auto" w:fill="FFFF00"/>
          </w:tcPr>
          <w:p w:rsidR="005B5830" w:rsidRPr="004E3511" w:rsidRDefault="005B5830" w:rsidP="00994ECA">
            <w:pPr>
              <w:pStyle w:val="NoSpacing"/>
              <w:jc w:val="center"/>
              <w:rPr>
                <w:rFonts w:ascii="Arial" w:hAnsi="Arial" w:cs="Arial"/>
                <w:b/>
              </w:rPr>
            </w:pPr>
            <w:r>
              <w:rPr>
                <w:rFonts w:ascii="Arial" w:hAnsi="Arial" w:cs="Arial"/>
                <w:b/>
              </w:rPr>
              <w:t>15</w:t>
            </w:r>
          </w:p>
        </w:tc>
      </w:tr>
      <w:tr w:rsidR="005B5830" w:rsidRPr="004E3511" w:rsidTr="00994ECA">
        <w:tc>
          <w:tcPr>
            <w:tcW w:w="3215" w:type="dxa"/>
          </w:tcPr>
          <w:p w:rsidR="005B5830" w:rsidRPr="005B5830" w:rsidRDefault="005B5830" w:rsidP="005B5830">
            <w:pPr>
              <w:pStyle w:val="NoSpacing"/>
              <w:rPr>
                <w:rFonts w:ascii="Arial" w:hAnsi="Arial" w:cs="Arial"/>
              </w:rPr>
            </w:pPr>
            <w:r w:rsidRPr="005B5830">
              <w:rPr>
                <w:rFonts w:ascii="Arial" w:hAnsi="Arial" w:cs="Arial"/>
              </w:rPr>
              <w:t>HR</w:t>
            </w:r>
          </w:p>
          <w:p w:rsidR="005B5830" w:rsidRPr="005B5830" w:rsidRDefault="005B5830" w:rsidP="005B5830">
            <w:pPr>
              <w:pStyle w:val="NoSpacing"/>
              <w:rPr>
                <w:rFonts w:ascii="Arial" w:hAnsi="Arial" w:cs="Arial"/>
              </w:rPr>
            </w:pPr>
          </w:p>
        </w:tc>
        <w:tc>
          <w:tcPr>
            <w:tcW w:w="1272" w:type="dxa"/>
            <w:shd w:val="clear" w:color="auto" w:fill="FFF2CC" w:themeFill="accent4" w:themeFillTint="33"/>
          </w:tcPr>
          <w:p w:rsidR="005B5830" w:rsidRPr="006F131C" w:rsidRDefault="005B5830" w:rsidP="00994ECA">
            <w:pPr>
              <w:pStyle w:val="NoSpacing"/>
              <w:jc w:val="center"/>
              <w:rPr>
                <w:rFonts w:ascii="Arial" w:hAnsi="Arial" w:cs="Arial"/>
              </w:rPr>
            </w:pPr>
            <w:r w:rsidRPr="006F131C">
              <w:rPr>
                <w:rFonts w:ascii="Arial" w:hAnsi="Arial" w:cs="Arial"/>
              </w:rPr>
              <w:t>0.4</w:t>
            </w:r>
          </w:p>
        </w:tc>
        <w:tc>
          <w:tcPr>
            <w:tcW w:w="1231" w:type="dxa"/>
            <w:shd w:val="clear" w:color="auto" w:fill="FFF2CC" w:themeFill="accent4" w:themeFillTint="33"/>
          </w:tcPr>
          <w:p w:rsidR="005B5830" w:rsidRPr="004E3511" w:rsidRDefault="005B5830" w:rsidP="00994ECA">
            <w:pPr>
              <w:pStyle w:val="NoSpacing"/>
              <w:jc w:val="center"/>
              <w:rPr>
                <w:rFonts w:ascii="Arial" w:hAnsi="Arial" w:cs="Arial"/>
                <w:b/>
              </w:rPr>
            </w:pPr>
            <w:r>
              <w:rPr>
                <w:rFonts w:ascii="Arial" w:hAnsi="Arial" w:cs="Arial"/>
                <w:b/>
              </w:rPr>
              <w:t>2.5</w:t>
            </w:r>
          </w:p>
        </w:tc>
        <w:tc>
          <w:tcPr>
            <w:tcW w:w="1482" w:type="dxa"/>
            <w:shd w:val="clear" w:color="auto" w:fill="DEEAF6" w:themeFill="accent1" w:themeFillTint="33"/>
          </w:tcPr>
          <w:p w:rsidR="005B5830" w:rsidRPr="006F131C" w:rsidRDefault="005B5830" w:rsidP="00994ECA">
            <w:pPr>
              <w:pStyle w:val="NoSpacing"/>
              <w:jc w:val="center"/>
              <w:rPr>
                <w:rFonts w:ascii="Arial" w:hAnsi="Arial" w:cs="Arial"/>
              </w:rPr>
            </w:pPr>
            <w:r w:rsidRPr="006F131C">
              <w:rPr>
                <w:rFonts w:ascii="Arial" w:hAnsi="Arial" w:cs="Arial"/>
              </w:rPr>
              <w:t>5.5</w:t>
            </w:r>
          </w:p>
        </w:tc>
        <w:tc>
          <w:tcPr>
            <w:tcW w:w="1205" w:type="dxa"/>
            <w:shd w:val="clear" w:color="auto" w:fill="DEEAF6" w:themeFill="accent1" w:themeFillTint="33"/>
          </w:tcPr>
          <w:p w:rsidR="005B5830" w:rsidRPr="004E3511" w:rsidRDefault="005B5830" w:rsidP="00994ECA">
            <w:pPr>
              <w:pStyle w:val="NoSpacing"/>
              <w:jc w:val="center"/>
              <w:rPr>
                <w:rFonts w:ascii="Arial" w:hAnsi="Arial" w:cs="Arial"/>
                <w:b/>
              </w:rPr>
            </w:pPr>
            <w:r>
              <w:rPr>
                <w:rFonts w:ascii="Arial" w:hAnsi="Arial" w:cs="Arial"/>
                <w:b/>
              </w:rPr>
              <w:t>5</w:t>
            </w:r>
          </w:p>
        </w:tc>
        <w:tc>
          <w:tcPr>
            <w:tcW w:w="1314" w:type="dxa"/>
            <w:shd w:val="clear" w:color="auto" w:fill="FFFF00"/>
          </w:tcPr>
          <w:p w:rsidR="005B5830" w:rsidRPr="006F131C" w:rsidRDefault="005B5830" w:rsidP="00994ECA">
            <w:pPr>
              <w:pStyle w:val="NoSpacing"/>
              <w:jc w:val="center"/>
              <w:rPr>
                <w:rFonts w:ascii="Arial" w:hAnsi="Arial" w:cs="Arial"/>
              </w:rPr>
            </w:pPr>
            <w:r w:rsidRPr="006F131C">
              <w:rPr>
                <w:rFonts w:ascii="Arial" w:hAnsi="Arial" w:cs="Arial"/>
              </w:rPr>
              <w:t>43</w:t>
            </w:r>
          </w:p>
        </w:tc>
        <w:tc>
          <w:tcPr>
            <w:tcW w:w="1297" w:type="dxa"/>
            <w:shd w:val="clear" w:color="auto" w:fill="FFFF00"/>
          </w:tcPr>
          <w:p w:rsidR="005B5830" w:rsidRPr="004E3511" w:rsidRDefault="005B5830" w:rsidP="00994ECA">
            <w:pPr>
              <w:pStyle w:val="NoSpacing"/>
              <w:jc w:val="center"/>
              <w:rPr>
                <w:rFonts w:ascii="Arial" w:hAnsi="Arial" w:cs="Arial"/>
                <w:b/>
              </w:rPr>
            </w:pPr>
            <w:r>
              <w:rPr>
                <w:rFonts w:ascii="Arial" w:hAnsi="Arial" w:cs="Arial"/>
                <w:b/>
              </w:rPr>
              <w:t>28</w:t>
            </w:r>
          </w:p>
        </w:tc>
      </w:tr>
      <w:tr w:rsidR="005B5830" w:rsidRPr="004E3511" w:rsidTr="00994ECA">
        <w:tc>
          <w:tcPr>
            <w:tcW w:w="3215" w:type="dxa"/>
          </w:tcPr>
          <w:p w:rsidR="005B5830" w:rsidRPr="005B5830" w:rsidRDefault="005B5830" w:rsidP="005B5830">
            <w:pPr>
              <w:pStyle w:val="NoSpacing"/>
              <w:rPr>
                <w:rFonts w:ascii="Arial" w:hAnsi="Arial" w:cs="Arial"/>
              </w:rPr>
            </w:pPr>
            <w:r w:rsidRPr="005B5830">
              <w:rPr>
                <w:rFonts w:ascii="Arial" w:hAnsi="Arial" w:cs="Arial"/>
              </w:rPr>
              <w:t>Records</w:t>
            </w:r>
          </w:p>
          <w:p w:rsidR="005B5830" w:rsidRPr="005B5830" w:rsidRDefault="005B5830" w:rsidP="005B5830">
            <w:pPr>
              <w:pStyle w:val="NoSpacing"/>
              <w:rPr>
                <w:rFonts w:ascii="Arial" w:hAnsi="Arial" w:cs="Arial"/>
              </w:rPr>
            </w:pPr>
          </w:p>
        </w:tc>
        <w:tc>
          <w:tcPr>
            <w:tcW w:w="1272" w:type="dxa"/>
            <w:shd w:val="clear" w:color="auto" w:fill="FFF2CC" w:themeFill="accent4" w:themeFillTint="33"/>
          </w:tcPr>
          <w:p w:rsidR="005B5830" w:rsidRPr="006F131C" w:rsidRDefault="005B5830" w:rsidP="00994ECA">
            <w:pPr>
              <w:pStyle w:val="NoSpacing"/>
              <w:jc w:val="center"/>
              <w:rPr>
                <w:rFonts w:ascii="Arial" w:hAnsi="Arial" w:cs="Arial"/>
              </w:rPr>
            </w:pPr>
            <w:r w:rsidRPr="006F131C">
              <w:rPr>
                <w:rFonts w:ascii="Arial" w:hAnsi="Arial" w:cs="Arial"/>
              </w:rPr>
              <w:t>1.6</w:t>
            </w:r>
          </w:p>
        </w:tc>
        <w:tc>
          <w:tcPr>
            <w:tcW w:w="1231" w:type="dxa"/>
            <w:shd w:val="clear" w:color="auto" w:fill="FFF2CC" w:themeFill="accent4" w:themeFillTint="33"/>
          </w:tcPr>
          <w:p w:rsidR="005B5830" w:rsidRPr="004E3511" w:rsidRDefault="005B5830" w:rsidP="00994ECA">
            <w:pPr>
              <w:pStyle w:val="NoSpacing"/>
              <w:jc w:val="center"/>
              <w:rPr>
                <w:rFonts w:ascii="Arial" w:hAnsi="Arial" w:cs="Arial"/>
                <w:b/>
              </w:rPr>
            </w:pPr>
            <w:r>
              <w:rPr>
                <w:rFonts w:ascii="Arial" w:hAnsi="Arial" w:cs="Arial"/>
                <w:b/>
              </w:rPr>
              <w:t>3</w:t>
            </w:r>
          </w:p>
        </w:tc>
        <w:tc>
          <w:tcPr>
            <w:tcW w:w="1482" w:type="dxa"/>
            <w:shd w:val="clear" w:color="auto" w:fill="DEEAF6" w:themeFill="accent1" w:themeFillTint="33"/>
          </w:tcPr>
          <w:p w:rsidR="005B5830" w:rsidRPr="006F131C" w:rsidRDefault="005B5830" w:rsidP="00994ECA">
            <w:pPr>
              <w:pStyle w:val="NoSpacing"/>
              <w:jc w:val="center"/>
              <w:rPr>
                <w:rFonts w:ascii="Arial" w:hAnsi="Arial" w:cs="Arial"/>
              </w:rPr>
            </w:pPr>
            <w:r w:rsidRPr="006F131C">
              <w:rPr>
                <w:rFonts w:ascii="Arial" w:hAnsi="Arial" w:cs="Arial"/>
              </w:rPr>
              <w:t>14.4</w:t>
            </w:r>
          </w:p>
        </w:tc>
        <w:tc>
          <w:tcPr>
            <w:tcW w:w="1205" w:type="dxa"/>
            <w:shd w:val="clear" w:color="auto" w:fill="DEEAF6" w:themeFill="accent1" w:themeFillTint="33"/>
          </w:tcPr>
          <w:p w:rsidR="005B5830" w:rsidRPr="004E3511" w:rsidRDefault="005B5830" w:rsidP="00994ECA">
            <w:pPr>
              <w:pStyle w:val="NoSpacing"/>
              <w:jc w:val="center"/>
              <w:rPr>
                <w:rFonts w:ascii="Arial" w:hAnsi="Arial" w:cs="Arial"/>
                <w:b/>
              </w:rPr>
            </w:pPr>
            <w:r>
              <w:rPr>
                <w:rFonts w:ascii="Arial" w:hAnsi="Arial" w:cs="Arial"/>
                <w:b/>
              </w:rPr>
              <w:t>10</w:t>
            </w:r>
          </w:p>
        </w:tc>
        <w:tc>
          <w:tcPr>
            <w:tcW w:w="1314" w:type="dxa"/>
            <w:shd w:val="clear" w:color="auto" w:fill="FFFF00"/>
          </w:tcPr>
          <w:p w:rsidR="005B5830" w:rsidRPr="006F131C" w:rsidRDefault="005B5830" w:rsidP="00994ECA">
            <w:pPr>
              <w:pStyle w:val="NoSpacing"/>
              <w:jc w:val="center"/>
              <w:rPr>
                <w:rFonts w:ascii="Arial" w:hAnsi="Arial" w:cs="Arial"/>
              </w:rPr>
            </w:pPr>
            <w:r w:rsidRPr="006F131C">
              <w:rPr>
                <w:rFonts w:ascii="Arial" w:hAnsi="Arial" w:cs="Arial"/>
              </w:rPr>
              <w:t>25.4</w:t>
            </w:r>
          </w:p>
        </w:tc>
        <w:tc>
          <w:tcPr>
            <w:tcW w:w="1297" w:type="dxa"/>
            <w:shd w:val="clear" w:color="auto" w:fill="FFFF00"/>
          </w:tcPr>
          <w:p w:rsidR="005B5830" w:rsidRPr="004E3511" w:rsidRDefault="005B5830" w:rsidP="00994ECA">
            <w:pPr>
              <w:pStyle w:val="NoSpacing"/>
              <w:jc w:val="center"/>
              <w:rPr>
                <w:rFonts w:ascii="Arial" w:hAnsi="Arial" w:cs="Arial"/>
                <w:b/>
              </w:rPr>
            </w:pPr>
            <w:r>
              <w:rPr>
                <w:rFonts w:ascii="Arial" w:hAnsi="Arial" w:cs="Arial"/>
                <w:b/>
              </w:rPr>
              <w:t>20</w:t>
            </w:r>
          </w:p>
        </w:tc>
      </w:tr>
      <w:tr w:rsidR="005B5830" w:rsidRPr="004E3511" w:rsidTr="00994ECA">
        <w:tc>
          <w:tcPr>
            <w:tcW w:w="3215" w:type="dxa"/>
          </w:tcPr>
          <w:p w:rsidR="005B5830" w:rsidRPr="005B5830" w:rsidRDefault="005B5830" w:rsidP="005B5830">
            <w:pPr>
              <w:pStyle w:val="NoSpacing"/>
              <w:rPr>
                <w:rFonts w:ascii="Arial" w:hAnsi="Arial" w:cs="Arial"/>
              </w:rPr>
            </w:pPr>
            <w:r w:rsidRPr="005B5830">
              <w:rPr>
                <w:rFonts w:ascii="Arial" w:hAnsi="Arial" w:cs="Arial"/>
              </w:rPr>
              <w:t xml:space="preserve">Customer Service </w:t>
            </w:r>
          </w:p>
          <w:p w:rsidR="005B5830" w:rsidRPr="005B5830" w:rsidRDefault="005B5830" w:rsidP="005B5830">
            <w:pPr>
              <w:pStyle w:val="NoSpacing"/>
              <w:rPr>
                <w:rFonts w:ascii="Arial" w:hAnsi="Arial" w:cs="Arial"/>
                <w:sz w:val="20"/>
                <w:szCs w:val="20"/>
              </w:rPr>
            </w:pPr>
          </w:p>
        </w:tc>
        <w:tc>
          <w:tcPr>
            <w:tcW w:w="1272" w:type="dxa"/>
            <w:shd w:val="clear" w:color="auto" w:fill="FFF2CC" w:themeFill="accent4" w:themeFillTint="33"/>
          </w:tcPr>
          <w:p w:rsidR="005B5830" w:rsidRPr="006F131C" w:rsidRDefault="005B5830" w:rsidP="00994ECA">
            <w:pPr>
              <w:pStyle w:val="NoSpacing"/>
              <w:jc w:val="center"/>
              <w:rPr>
                <w:rFonts w:ascii="Arial" w:hAnsi="Arial" w:cs="Arial"/>
              </w:rPr>
            </w:pPr>
            <w:r w:rsidRPr="006F131C">
              <w:rPr>
                <w:rFonts w:ascii="Arial" w:hAnsi="Arial" w:cs="Arial"/>
              </w:rPr>
              <w:t>7</w:t>
            </w:r>
          </w:p>
        </w:tc>
        <w:tc>
          <w:tcPr>
            <w:tcW w:w="1231" w:type="dxa"/>
            <w:shd w:val="clear" w:color="auto" w:fill="FFF2CC" w:themeFill="accent4" w:themeFillTint="33"/>
          </w:tcPr>
          <w:p w:rsidR="005B5830" w:rsidRPr="004E3511" w:rsidRDefault="005B5830" w:rsidP="00994ECA">
            <w:pPr>
              <w:pStyle w:val="NoSpacing"/>
              <w:jc w:val="center"/>
              <w:rPr>
                <w:rFonts w:ascii="Arial" w:hAnsi="Arial" w:cs="Arial"/>
                <w:b/>
              </w:rPr>
            </w:pPr>
            <w:r>
              <w:rPr>
                <w:rFonts w:ascii="Arial" w:hAnsi="Arial" w:cs="Arial"/>
                <w:b/>
              </w:rPr>
              <w:t>4</w:t>
            </w:r>
          </w:p>
        </w:tc>
        <w:tc>
          <w:tcPr>
            <w:tcW w:w="1482" w:type="dxa"/>
            <w:shd w:val="clear" w:color="auto" w:fill="DEEAF6" w:themeFill="accent1" w:themeFillTint="33"/>
          </w:tcPr>
          <w:p w:rsidR="005B5830" w:rsidRPr="006F131C" w:rsidRDefault="005B5830" w:rsidP="00994ECA">
            <w:pPr>
              <w:pStyle w:val="NoSpacing"/>
              <w:jc w:val="center"/>
              <w:rPr>
                <w:rFonts w:ascii="Arial" w:hAnsi="Arial" w:cs="Arial"/>
              </w:rPr>
            </w:pPr>
            <w:r>
              <w:rPr>
                <w:rFonts w:ascii="Arial" w:hAnsi="Arial" w:cs="Arial"/>
              </w:rPr>
              <w:t>15.6</w:t>
            </w:r>
          </w:p>
        </w:tc>
        <w:tc>
          <w:tcPr>
            <w:tcW w:w="1205" w:type="dxa"/>
            <w:shd w:val="clear" w:color="auto" w:fill="DEEAF6" w:themeFill="accent1" w:themeFillTint="33"/>
          </w:tcPr>
          <w:p w:rsidR="005B5830" w:rsidRPr="004E3511" w:rsidRDefault="005B5830" w:rsidP="00994ECA">
            <w:pPr>
              <w:pStyle w:val="NoSpacing"/>
              <w:jc w:val="center"/>
              <w:rPr>
                <w:rFonts w:ascii="Arial" w:hAnsi="Arial" w:cs="Arial"/>
                <w:b/>
              </w:rPr>
            </w:pPr>
            <w:r>
              <w:rPr>
                <w:rFonts w:ascii="Arial" w:hAnsi="Arial" w:cs="Arial"/>
                <w:b/>
              </w:rPr>
              <w:t>12</w:t>
            </w:r>
          </w:p>
        </w:tc>
        <w:tc>
          <w:tcPr>
            <w:tcW w:w="1314" w:type="dxa"/>
            <w:shd w:val="clear" w:color="auto" w:fill="FFFF00"/>
          </w:tcPr>
          <w:p w:rsidR="005B5830" w:rsidRPr="006F131C" w:rsidRDefault="005B5830" w:rsidP="00994ECA">
            <w:pPr>
              <w:pStyle w:val="NoSpacing"/>
              <w:jc w:val="center"/>
              <w:rPr>
                <w:rFonts w:ascii="Arial" w:hAnsi="Arial" w:cs="Arial"/>
              </w:rPr>
            </w:pPr>
            <w:r w:rsidRPr="006F131C">
              <w:rPr>
                <w:rFonts w:ascii="Arial" w:hAnsi="Arial" w:cs="Arial"/>
              </w:rPr>
              <w:t>59</w:t>
            </w:r>
            <w:r>
              <w:rPr>
                <w:rFonts w:ascii="Arial" w:hAnsi="Arial" w:cs="Arial"/>
              </w:rPr>
              <w:t>.1</w:t>
            </w:r>
          </w:p>
        </w:tc>
        <w:tc>
          <w:tcPr>
            <w:tcW w:w="1297" w:type="dxa"/>
            <w:shd w:val="clear" w:color="auto" w:fill="FFFF00"/>
          </w:tcPr>
          <w:p w:rsidR="005B5830" w:rsidRPr="004E3511" w:rsidRDefault="005B5830" w:rsidP="00994ECA">
            <w:pPr>
              <w:pStyle w:val="NoSpacing"/>
              <w:jc w:val="center"/>
              <w:rPr>
                <w:rFonts w:ascii="Arial" w:hAnsi="Arial" w:cs="Arial"/>
                <w:b/>
              </w:rPr>
            </w:pPr>
            <w:r>
              <w:rPr>
                <w:rFonts w:ascii="Arial" w:hAnsi="Arial" w:cs="Arial"/>
                <w:b/>
              </w:rPr>
              <w:t>45</w:t>
            </w:r>
          </w:p>
        </w:tc>
      </w:tr>
      <w:tr w:rsidR="005B5830" w:rsidRPr="004E3511" w:rsidTr="00994ECA">
        <w:tc>
          <w:tcPr>
            <w:tcW w:w="3215" w:type="dxa"/>
          </w:tcPr>
          <w:p w:rsidR="005B5830" w:rsidRPr="005B5830" w:rsidRDefault="005B5830" w:rsidP="005B5830">
            <w:pPr>
              <w:pStyle w:val="NoSpacing"/>
              <w:rPr>
                <w:rFonts w:ascii="Arial" w:hAnsi="Arial" w:cs="Arial"/>
              </w:rPr>
            </w:pPr>
            <w:r w:rsidRPr="005B5830">
              <w:rPr>
                <w:rFonts w:ascii="Arial" w:hAnsi="Arial" w:cs="Arial"/>
              </w:rPr>
              <w:t xml:space="preserve">Mayoral/CEO support staff </w:t>
            </w:r>
          </w:p>
          <w:p w:rsidR="005B5830" w:rsidRPr="005B5830" w:rsidRDefault="005B5830" w:rsidP="005B5830">
            <w:pPr>
              <w:pStyle w:val="NoSpacing"/>
              <w:rPr>
                <w:rFonts w:ascii="Arial" w:hAnsi="Arial" w:cs="Arial"/>
              </w:rPr>
            </w:pPr>
          </w:p>
        </w:tc>
        <w:tc>
          <w:tcPr>
            <w:tcW w:w="1272" w:type="dxa"/>
            <w:shd w:val="clear" w:color="auto" w:fill="FFF2CC" w:themeFill="accent4" w:themeFillTint="33"/>
          </w:tcPr>
          <w:p w:rsidR="005B5830" w:rsidRPr="006F131C" w:rsidRDefault="005B5830" w:rsidP="00994ECA">
            <w:pPr>
              <w:pStyle w:val="NoSpacing"/>
              <w:jc w:val="center"/>
              <w:rPr>
                <w:rFonts w:ascii="Arial" w:hAnsi="Arial" w:cs="Arial"/>
              </w:rPr>
            </w:pPr>
            <w:r w:rsidRPr="006F131C">
              <w:rPr>
                <w:rFonts w:ascii="Arial" w:hAnsi="Arial" w:cs="Arial"/>
              </w:rPr>
              <w:t>2</w:t>
            </w:r>
          </w:p>
        </w:tc>
        <w:tc>
          <w:tcPr>
            <w:tcW w:w="1231" w:type="dxa"/>
            <w:shd w:val="clear" w:color="auto" w:fill="FFF2CC" w:themeFill="accent4" w:themeFillTint="33"/>
          </w:tcPr>
          <w:p w:rsidR="005B5830" w:rsidRPr="004E3511" w:rsidRDefault="005B5830" w:rsidP="00994ECA">
            <w:pPr>
              <w:pStyle w:val="NoSpacing"/>
              <w:jc w:val="center"/>
              <w:rPr>
                <w:rFonts w:ascii="Arial" w:hAnsi="Arial" w:cs="Arial"/>
                <w:b/>
              </w:rPr>
            </w:pPr>
            <w:r>
              <w:rPr>
                <w:rFonts w:ascii="Arial" w:hAnsi="Arial" w:cs="Arial"/>
                <w:b/>
              </w:rPr>
              <w:t>2</w:t>
            </w:r>
          </w:p>
        </w:tc>
        <w:tc>
          <w:tcPr>
            <w:tcW w:w="1482" w:type="dxa"/>
            <w:shd w:val="clear" w:color="auto" w:fill="DEEAF6" w:themeFill="accent1" w:themeFillTint="33"/>
          </w:tcPr>
          <w:p w:rsidR="005B5830" w:rsidRPr="006F131C" w:rsidRDefault="005B5830" w:rsidP="00994ECA">
            <w:pPr>
              <w:pStyle w:val="NoSpacing"/>
              <w:jc w:val="center"/>
              <w:rPr>
                <w:rFonts w:ascii="Arial" w:hAnsi="Arial" w:cs="Arial"/>
              </w:rPr>
            </w:pPr>
            <w:r w:rsidRPr="006F131C">
              <w:rPr>
                <w:rFonts w:ascii="Arial" w:hAnsi="Arial" w:cs="Arial"/>
              </w:rPr>
              <w:t>3.6</w:t>
            </w:r>
          </w:p>
        </w:tc>
        <w:tc>
          <w:tcPr>
            <w:tcW w:w="1205" w:type="dxa"/>
            <w:shd w:val="clear" w:color="auto" w:fill="DEEAF6" w:themeFill="accent1" w:themeFillTint="33"/>
          </w:tcPr>
          <w:p w:rsidR="005B5830" w:rsidRPr="004E3511" w:rsidRDefault="005B5830" w:rsidP="00994ECA">
            <w:pPr>
              <w:pStyle w:val="NoSpacing"/>
              <w:jc w:val="center"/>
              <w:rPr>
                <w:rFonts w:ascii="Arial" w:hAnsi="Arial" w:cs="Arial"/>
                <w:b/>
              </w:rPr>
            </w:pPr>
            <w:r>
              <w:rPr>
                <w:rFonts w:ascii="Arial" w:hAnsi="Arial" w:cs="Arial"/>
                <w:b/>
              </w:rPr>
              <w:t>3</w:t>
            </w:r>
          </w:p>
        </w:tc>
        <w:tc>
          <w:tcPr>
            <w:tcW w:w="1314" w:type="dxa"/>
            <w:shd w:val="clear" w:color="auto" w:fill="FFFF00"/>
          </w:tcPr>
          <w:p w:rsidR="005B5830" w:rsidRPr="006F131C" w:rsidRDefault="005B5830" w:rsidP="00994ECA">
            <w:pPr>
              <w:pStyle w:val="NoSpacing"/>
              <w:jc w:val="center"/>
              <w:rPr>
                <w:rFonts w:ascii="Arial" w:hAnsi="Arial" w:cs="Arial"/>
              </w:rPr>
            </w:pPr>
            <w:r w:rsidRPr="006F131C">
              <w:rPr>
                <w:rFonts w:ascii="Arial" w:hAnsi="Arial" w:cs="Arial"/>
              </w:rPr>
              <w:t>14</w:t>
            </w:r>
          </w:p>
        </w:tc>
        <w:tc>
          <w:tcPr>
            <w:tcW w:w="1297" w:type="dxa"/>
            <w:shd w:val="clear" w:color="auto" w:fill="FFFF00"/>
          </w:tcPr>
          <w:p w:rsidR="005B5830" w:rsidRPr="004E3511" w:rsidRDefault="005B5830" w:rsidP="00994ECA">
            <w:pPr>
              <w:pStyle w:val="NoSpacing"/>
              <w:jc w:val="center"/>
              <w:rPr>
                <w:rFonts w:ascii="Arial" w:hAnsi="Arial" w:cs="Arial"/>
                <w:b/>
              </w:rPr>
            </w:pPr>
            <w:r>
              <w:rPr>
                <w:rFonts w:ascii="Arial" w:hAnsi="Arial" w:cs="Arial"/>
                <w:b/>
              </w:rPr>
              <w:t>7</w:t>
            </w:r>
          </w:p>
        </w:tc>
      </w:tr>
      <w:tr w:rsidR="005B5830" w:rsidRPr="004E3511" w:rsidTr="00994ECA">
        <w:tc>
          <w:tcPr>
            <w:tcW w:w="3215" w:type="dxa"/>
          </w:tcPr>
          <w:p w:rsidR="005B5830" w:rsidRPr="005B5830" w:rsidRDefault="005B5830" w:rsidP="005B5830">
            <w:pPr>
              <w:pStyle w:val="NoSpacing"/>
              <w:rPr>
                <w:rFonts w:ascii="Arial" w:hAnsi="Arial" w:cs="Arial"/>
              </w:rPr>
            </w:pPr>
            <w:r w:rsidRPr="005B5830">
              <w:rPr>
                <w:rFonts w:ascii="Arial" w:hAnsi="Arial" w:cs="Arial"/>
              </w:rPr>
              <w:t>Corporate executive support staff</w:t>
            </w:r>
          </w:p>
        </w:tc>
        <w:tc>
          <w:tcPr>
            <w:tcW w:w="1272" w:type="dxa"/>
            <w:shd w:val="clear" w:color="auto" w:fill="FFF2CC" w:themeFill="accent4" w:themeFillTint="33"/>
          </w:tcPr>
          <w:p w:rsidR="005B5830" w:rsidRPr="006F131C" w:rsidRDefault="005B5830" w:rsidP="00994ECA">
            <w:pPr>
              <w:pStyle w:val="NoSpacing"/>
              <w:jc w:val="center"/>
              <w:rPr>
                <w:rFonts w:ascii="Arial" w:hAnsi="Arial" w:cs="Arial"/>
              </w:rPr>
            </w:pPr>
            <w:r w:rsidRPr="006F131C">
              <w:rPr>
                <w:rFonts w:ascii="Arial" w:hAnsi="Arial" w:cs="Arial"/>
              </w:rPr>
              <w:t>1.7</w:t>
            </w:r>
          </w:p>
        </w:tc>
        <w:tc>
          <w:tcPr>
            <w:tcW w:w="1231" w:type="dxa"/>
            <w:shd w:val="clear" w:color="auto" w:fill="FFF2CC" w:themeFill="accent4" w:themeFillTint="33"/>
          </w:tcPr>
          <w:p w:rsidR="005B5830" w:rsidRPr="004E3511" w:rsidRDefault="005B5830" w:rsidP="00994ECA">
            <w:pPr>
              <w:pStyle w:val="NoSpacing"/>
              <w:jc w:val="center"/>
              <w:rPr>
                <w:rFonts w:ascii="Arial" w:hAnsi="Arial" w:cs="Arial"/>
                <w:b/>
              </w:rPr>
            </w:pPr>
            <w:r>
              <w:rPr>
                <w:rFonts w:ascii="Arial" w:hAnsi="Arial" w:cs="Arial"/>
                <w:b/>
              </w:rPr>
              <w:t>2.5</w:t>
            </w:r>
          </w:p>
        </w:tc>
        <w:tc>
          <w:tcPr>
            <w:tcW w:w="1482" w:type="dxa"/>
            <w:shd w:val="clear" w:color="auto" w:fill="DEEAF6" w:themeFill="accent1" w:themeFillTint="33"/>
          </w:tcPr>
          <w:p w:rsidR="005B5830" w:rsidRPr="006F131C" w:rsidRDefault="005B5830" w:rsidP="00994ECA">
            <w:pPr>
              <w:pStyle w:val="NoSpacing"/>
              <w:jc w:val="center"/>
              <w:rPr>
                <w:rFonts w:ascii="Arial" w:hAnsi="Arial" w:cs="Arial"/>
              </w:rPr>
            </w:pPr>
            <w:r w:rsidRPr="006F131C">
              <w:rPr>
                <w:rFonts w:ascii="Arial" w:hAnsi="Arial" w:cs="Arial"/>
              </w:rPr>
              <w:t>4.5</w:t>
            </w:r>
          </w:p>
        </w:tc>
        <w:tc>
          <w:tcPr>
            <w:tcW w:w="1205" w:type="dxa"/>
            <w:shd w:val="clear" w:color="auto" w:fill="DEEAF6" w:themeFill="accent1" w:themeFillTint="33"/>
          </w:tcPr>
          <w:p w:rsidR="005B5830" w:rsidRPr="004E3511" w:rsidRDefault="005B5830" w:rsidP="00994ECA">
            <w:pPr>
              <w:pStyle w:val="NoSpacing"/>
              <w:jc w:val="center"/>
              <w:rPr>
                <w:rFonts w:ascii="Arial" w:hAnsi="Arial" w:cs="Arial"/>
                <w:b/>
              </w:rPr>
            </w:pPr>
            <w:r>
              <w:rPr>
                <w:rFonts w:ascii="Arial" w:hAnsi="Arial" w:cs="Arial"/>
                <w:b/>
              </w:rPr>
              <w:t>5</w:t>
            </w:r>
          </w:p>
        </w:tc>
        <w:tc>
          <w:tcPr>
            <w:tcW w:w="1314" w:type="dxa"/>
            <w:shd w:val="clear" w:color="auto" w:fill="FFFF00"/>
          </w:tcPr>
          <w:p w:rsidR="005B5830" w:rsidRPr="006F131C" w:rsidRDefault="005B5830" w:rsidP="00994ECA">
            <w:pPr>
              <w:pStyle w:val="NoSpacing"/>
              <w:jc w:val="center"/>
              <w:rPr>
                <w:rFonts w:ascii="Arial" w:hAnsi="Arial" w:cs="Arial"/>
              </w:rPr>
            </w:pPr>
            <w:r w:rsidRPr="006F131C">
              <w:rPr>
                <w:rFonts w:ascii="Arial" w:hAnsi="Arial" w:cs="Arial"/>
              </w:rPr>
              <w:t>23</w:t>
            </w:r>
          </w:p>
        </w:tc>
        <w:tc>
          <w:tcPr>
            <w:tcW w:w="1297" w:type="dxa"/>
            <w:shd w:val="clear" w:color="auto" w:fill="FFFF00"/>
          </w:tcPr>
          <w:p w:rsidR="005B5830" w:rsidRPr="004E3511" w:rsidRDefault="005B5830" w:rsidP="00994ECA">
            <w:pPr>
              <w:pStyle w:val="NoSpacing"/>
              <w:jc w:val="center"/>
              <w:rPr>
                <w:rFonts w:ascii="Arial" w:hAnsi="Arial" w:cs="Arial"/>
                <w:b/>
              </w:rPr>
            </w:pPr>
            <w:r>
              <w:rPr>
                <w:rFonts w:ascii="Arial" w:hAnsi="Arial" w:cs="Arial"/>
                <w:b/>
              </w:rPr>
              <w:t>12</w:t>
            </w:r>
          </w:p>
        </w:tc>
      </w:tr>
      <w:tr w:rsidR="005B5830" w:rsidRPr="004E3511" w:rsidTr="00994ECA">
        <w:tc>
          <w:tcPr>
            <w:tcW w:w="3215" w:type="dxa"/>
          </w:tcPr>
          <w:p w:rsidR="005B5830" w:rsidRPr="005B5830" w:rsidRDefault="005B5830" w:rsidP="005B5830">
            <w:pPr>
              <w:pStyle w:val="NoSpacing"/>
              <w:rPr>
                <w:rFonts w:ascii="Arial" w:hAnsi="Arial" w:cs="Arial"/>
              </w:rPr>
            </w:pPr>
            <w:r w:rsidRPr="005B5830">
              <w:rPr>
                <w:rFonts w:ascii="Arial" w:hAnsi="Arial" w:cs="Arial"/>
              </w:rPr>
              <w:t xml:space="preserve">Council and Committees secretarial support </w:t>
            </w:r>
          </w:p>
        </w:tc>
        <w:tc>
          <w:tcPr>
            <w:tcW w:w="1272" w:type="dxa"/>
            <w:shd w:val="clear" w:color="auto" w:fill="FFF2CC" w:themeFill="accent4" w:themeFillTint="33"/>
          </w:tcPr>
          <w:p w:rsidR="005B5830" w:rsidRPr="006F131C" w:rsidRDefault="005B5830" w:rsidP="00994ECA">
            <w:pPr>
              <w:pStyle w:val="NoSpacing"/>
              <w:jc w:val="center"/>
              <w:rPr>
                <w:rFonts w:ascii="Arial" w:hAnsi="Arial" w:cs="Arial"/>
              </w:rPr>
            </w:pPr>
            <w:r w:rsidRPr="006F131C">
              <w:rPr>
                <w:rFonts w:ascii="Arial" w:hAnsi="Arial" w:cs="Arial"/>
              </w:rPr>
              <w:t>1.5</w:t>
            </w:r>
          </w:p>
        </w:tc>
        <w:tc>
          <w:tcPr>
            <w:tcW w:w="1231" w:type="dxa"/>
            <w:shd w:val="clear" w:color="auto" w:fill="FFF2CC" w:themeFill="accent4" w:themeFillTint="33"/>
          </w:tcPr>
          <w:p w:rsidR="005B5830" w:rsidRPr="004E3511" w:rsidRDefault="005B5830" w:rsidP="00994ECA">
            <w:pPr>
              <w:pStyle w:val="NoSpacing"/>
              <w:jc w:val="center"/>
              <w:rPr>
                <w:rFonts w:ascii="Arial" w:hAnsi="Arial" w:cs="Arial"/>
                <w:b/>
              </w:rPr>
            </w:pPr>
            <w:r>
              <w:rPr>
                <w:rFonts w:ascii="Arial" w:hAnsi="Arial" w:cs="Arial"/>
                <w:b/>
              </w:rPr>
              <w:t>2.5</w:t>
            </w:r>
          </w:p>
        </w:tc>
        <w:tc>
          <w:tcPr>
            <w:tcW w:w="1482" w:type="dxa"/>
            <w:shd w:val="clear" w:color="auto" w:fill="DEEAF6" w:themeFill="accent1" w:themeFillTint="33"/>
          </w:tcPr>
          <w:p w:rsidR="005B5830" w:rsidRPr="006F131C" w:rsidRDefault="005B5830" w:rsidP="00994ECA">
            <w:pPr>
              <w:pStyle w:val="NoSpacing"/>
              <w:jc w:val="center"/>
              <w:rPr>
                <w:rFonts w:ascii="Arial" w:hAnsi="Arial" w:cs="Arial"/>
              </w:rPr>
            </w:pPr>
            <w:r>
              <w:rPr>
                <w:rFonts w:ascii="Arial" w:hAnsi="Arial" w:cs="Arial"/>
              </w:rPr>
              <w:t>7.8</w:t>
            </w:r>
          </w:p>
        </w:tc>
        <w:tc>
          <w:tcPr>
            <w:tcW w:w="1205" w:type="dxa"/>
            <w:shd w:val="clear" w:color="auto" w:fill="DEEAF6" w:themeFill="accent1" w:themeFillTint="33"/>
          </w:tcPr>
          <w:p w:rsidR="005B5830" w:rsidRPr="004E3511" w:rsidRDefault="005B5830" w:rsidP="00994ECA">
            <w:pPr>
              <w:pStyle w:val="NoSpacing"/>
              <w:jc w:val="center"/>
              <w:rPr>
                <w:rFonts w:ascii="Arial" w:hAnsi="Arial" w:cs="Arial"/>
                <w:b/>
              </w:rPr>
            </w:pPr>
            <w:r>
              <w:rPr>
                <w:rFonts w:ascii="Arial" w:hAnsi="Arial" w:cs="Arial"/>
                <w:b/>
              </w:rPr>
              <w:t>5</w:t>
            </w:r>
          </w:p>
        </w:tc>
        <w:tc>
          <w:tcPr>
            <w:tcW w:w="1314" w:type="dxa"/>
            <w:shd w:val="clear" w:color="auto" w:fill="FFFF00"/>
          </w:tcPr>
          <w:p w:rsidR="005B5830" w:rsidRPr="006F131C" w:rsidRDefault="005B5830" w:rsidP="00994ECA">
            <w:pPr>
              <w:pStyle w:val="NoSpacing"/>
              <w:jc w:val="center"/>
              <w:rPr>
                <w:rFonts w:ascii="Arial" w:hAnsi="Arial" w:cs="Arial"/>
              </w:rPr>
            </w:pPr>
            <w:r w:rsidRPr="006F131C">
              <w:rPr>
                <w:rFonts w:ascii="Arial" w:hAnsi="Arial" w:cs="Arial"/>
              </w:rPr>
              <w:t>11</w:t>
            </w:r>
          </w:p>
        </w:tc>
        <w:tc>
          <w:tcPr>
            <w:tcW w:w="1297" w:type="dxa"/>
            <w:shd w:val="clear" w:color="auto" w:fill="FFFF00"/>
          </w:tcPr>
          <w:p w:rsidR="005B5830" w:rsidRPr="004E3511" w:rsidRDefault="005B5830" w:rsidP="00994ECA">
            <w:pPr>
              <w:pStyle w:val="NoSpacing"/>
              <w:jc w:val="center"/>
              <w:rPr>
                <w:rFonts w:ascii="Arial" w:hAnsi="Arial" w:cs="Arial"/>
                <w:b/>
              </w:rPr>
            </w:pPr>
            <w:r>
              <w:rPr>
                <w:rFonts w:ascii="Arial" w:hAnsi="Arial" w:cs="Arial"/>
                <w:b/>
              </w:rPr>
              <w:t>10</w:t>
            </w:r>
          </w:p>
        </w:tc>
      </w:tr>
      <w:tr w:rsidR="005B5830" w:rsidRPr="004E3511" w:rsidTr="00994ECA">
        <w:tc>
          <w:tcPr>
            <w:tcW w:w="3215" w:type="dxa"/>
          </w:tcPr>
          <w:p w:rsidR="005B5830" w:rsidRPr="005B5830" w:rsidRDefault="005B5830" w:rsidP="005B5830">
            <w:pPr>
              <w:pStyle w:val="NoSpacing"/>
              <w:rPr>
                <w:rFonts w:ascii="Arial" w:hAnsi="Arial" w:cs="Arial"/>
              </w:rPr>
            </w:pPr>
            <w:r w:rsidRPr="005B5830">
              <w:rPr>
                <w:rFonts w:ascii="Arial" w:hAnsi="Arial" w:cs="Arial"/>
              </w:rPr>
              <w:t>Other specialist functions</w:t>
            </w:r>
            <w:r w:rsidR="009D0A86">
              <w:rPr>
                <w:rStyle w:val="FootnoteReference"/>
                <w:rFonts w:ascii="Arial" w:hAnsi="Arial" w:cs="Arial"/>
              </w:rPr>
              <w:footnoteReference w:id="2"/>
            </w:r>
          </w:p>
          <w:p w:rsidR="005B5830" w:rsidRPr="005B5830" w:rsidRDefault="005B5830" w:rsidP="005B5830">
            <w:pPr>
              <w:pStyle w:val="NoSpacing"/>
              <w:rPr>
                <w:rFonts w:ascii="Arial" w:hAnsi="Arial" w:cs="Arial"/>
              </w:rPr>
            </w:pPr>
          </w:p>
        </w:tc>
        <w:tc>
          <w:tcPr>
            <w:tcW w:w="1272" w:type="dxa"/>
            <w:shd w:val="clear" w:color="auto" w:fill="FFF2CC" w:themeFill="accent4" w:themeFillTint="33"/>
          </w:tcPr>
          <w:p w:rsidR="005B5830" w:rsidRPr="006F131C" w:rsidRDefault="005B5830" w:rsidP="00994ECA">
            <w:pPr>
              <w:pStyle w:val="NoSpacing"/>
              <w:jc w:val="center"/>
              <w:rPr>
                <w:rFonts w:ascii="Arial" w:hAnsi="Arial" w:cs="Arial"/>
              </w:rPr>
            </w:pPr>
            <w:r w:rsidRPr="006F131C">
              <w:rPr>
                <w:rFonts w:ascii="Arial" w:hAnsi="Arial" w:cs="Arial"/>
              </w:rPr>
              <w:t>1.4</w:t>
            </w:r>
          </w:p>
        </w:tc>
        <w:tc>
          <w:tcPr>
            <w:tcW w:w="1231" w:type="dxa"/>
            <w:shd w:val="clear" w:color="auto" w:fill="FFF2CC" w:themeFill="accent4" w:themeFillTint="33"/>
          </w:tcPr>
          <w:p w:rsidR="005B5830" w:rsidRPr="004E3511" w:rsidRDefault="005B5830" w:rsidP="00994ECA">
            <w:pPr>
              <w:pStyle w:val="NoSpacing"/>
              <w:jc w:val="center"/>
              <w:rPr>
                <w:rFonts w:ascii="Arial" w:hAnsi="Arial" w:cs="Arial"/>
                <w:b/>
              </w:rPr>
            </w:pPr>
            <w:r>
              <w:rPr>
                <w:rFonts w:ascii="Arial" w:hAnsi="Arial" w:cs="Arial"/>
                <w:b/>
              </w:rPr>
              <w:t>2</w:t>
            </w:r>
          </w:p>
        </w:tc>
        <w:tc>
          <w:tcPr>
            <w:tcW w:w="1482" w:type="dxa"/>
            <w:shd w:val="clear" w:color="auto" w:fill="DEEAF6" w:themeFill="accent1" w:themeFillTint="33"/>
          </w:tcPr>
          <w:p w:rsidR="005B5830" w:rsidRPr="006F131C" w:rsidRDefault="005B5830" w:rsidP="00994ECA">
            <w:pPr>
              <w:pStyle w:val="NoSpacing"/>
              <w:jc w:val="center"/>
              <w:rPr>
                <w:rFonts w:ascii="Arial" w:hAnsi="Arial" w:cs="Arial"/>
              </w:rPr>
            </w:pPr>
            <w:r>
              <w:rPr>
                <w:rFonts w:ascii="Arial" w:hAnsi="Arial" w:cs="Arial"/>
              </w:rPr>
              <w:t>17.6</w:t>
            </w:r>
          </w:p>
        </w:tc>
        <w:tc>
          <w:tcPr>
            <w:tcW w:w="1205" w:type="dxa"/>
            <w:shd w:val="clear" w:color="auto" w:fill="DEEAF6" w:themeFill="accent1" w:themeFillTint="33"/>
          </w:tcPr>
          <w:p w:rsidR="005B5830" w:rsidRPr="004E3511" w:rsidRDefault="005B5830" w:rsidP="00994ECA">
            <w:pPr>
              <w:pStyle w:val="NoSpacing"/>
              <w:jc w:val="center"/>
              <w:rPr>
                <w:rFonts w:ascii="Arial" w:hAnsi="Arial" w:cs="Arial"/>
                <w:b/>
              </w:rPr>
            </w:pPr>
            <w:r>
              <w:rPr>
                <w:rFonts w:ascii="Arial" w:hAnsi="Arial" w:cs="Arial"/>
                <w:b/>
              </w:rPr>
              <w:t>10</w:t>
            </w:r>
          </w:p>
        </w:tc>
        <w:tc>
          <w:tcPr>
            <w:tcW w:w="1314" w:type="dxa"/>
            <w:shd w:val="clear" w:color="auto" w:fill="FFFF00"/>
          </w:tcPr>
          <w:p w:rsidR="005B5830" w:rsidRPr="006F131C" w:rsidRDefault="005B5830" w:rsidP="00994ECA">
            <w:pPr>
              <w:pStyle w:val="NoSpacing"/>
              <w:jc w:val="center"/>
              <w:rPr>
                <w:rFonts w:ascii="Arial" w:hAnsi="Arial" w:cs="Arial"/>
              </w:rPr>
            </w:pPr>
            <w:r w:rsidRPr="006F131C">
              <w:rPr>
                <w:rFonts w:ascii="Arial" w:hAnsi="Arial" w:cs="Arial"/>
              </w:rPr>
              <w:t>77</w:t>
            </w:r>
          </w:p>
        </w:tc>
        <w:tc>
          <w:tcPr>
            <w:tcW w:w="1297" w:type="dxa"/>
            <w:shd w:val="clear" w:color="auto" w:fill="FFFF00"/>
          </w:tcPr>
          <w:p w:rsidR="005B5830" w:rsidRPr="004E3511" w:rsidRDefault="005B5830" w:rsidP="00994ECA">
            <w:pPr>
              <w:pStyle w:val="NoSpacing"/>
              <w:jc w:val="center"/>
              <w:rPr>
                <w:rFonts w:ascii="Arial" w:hAnsi="Arial" w:cs="Arial"/>
                <w:b/>
              </w:rPr>
            </w:pPr>
            <w:r>
              <w:rPr>
                <w:rFonts w:ascii="Arial" w:hAnsi="Arial" w:cs="Arial"/>
                <w:b/>
              </w:rPr>
              <w:t>40</w:t>
            </w:r>
          </w:p>
        </w:tc>
      </w:tr>
      <w:tr w:rsidR="005B5830" w:rsidRPr="004E3511" w:rsidTr="00994ECA">
        <w:tc>
          <w:tcPr>
            <w:tcW w:w="3215" w:type="dxa"/>
          </w:tcPr>
          <w:p w:rsidR="005B5830" w:rsidRPr="005B5830" w:rsidRDefault="005B5830" w:rsidP="005B5830">
            <w:pPr>
              <w:pStyle w:val="NoSpacing"/>
              <w:rPr>
                <w:rFonts w:ascii="Arial" w:hAnsi="Arial" w:cs="Arial"/>
                <w:sz w:val="20"/>
              </w:rPr>
            </w:pPr>
            <w:r w:rsidRPr="005B5830">
              <w:rPr>
                <w:rFonts w:ascii="Arial" w:hAnsi="Arial" w:cs="Arial"/>
              </w:rPr>
              <w:t>Total Existing FTEs</w:t>
            </w:r>
          </w:p>
        </w:tc>
        <w:tc>
          <w:tcPr>
            <w:tcW w:w="1272" w:type="dxa"/>
            <w:shd w:val="clear" w:color="auto" w:fill="FFF2CC" w:themeFill="accent4" w:themeFillTint="33"/>
          </w:tcPr>
          <w:p w:rsidR="005B5830" w:rsidRPr="004E3511" w:rsidRDefault="005B5830" w:rsidP="008045E6">
            <w:pPr>
              <w:pStyle w:val="NoSpacing"/>
              <w:jc w:val="center"/>
              <w:rPr>
                <w:rFonts w:ascii="Arial" w:hAnsi="Arial" w:cs="Arial"/>
                <w:b/>
              </w:rPr>
            </w:pPr>
            <w:r>
              <w:rPr>
                <w:rFonts w:ascii="Arial" w:hAnsi="Arial" w:cs="Arial"/>
                <w:b/>
              </w:rPr>
              <w:t>34</w:t>
            </w:r>
          </w:p>
        </w:tc>
        <w:tc>
          <w:tcPr>
            <w:tcW w:w="1231" w:type="dxa"/>
            <w:shd w:val="clear" w:color="auto" w:fill="FFF2CC" w:themeFill="accent4" w:themeFillTint="33"/>
          </w:tcPr>
          <w:p w:rsidR="005B5830" w:rsidRPr="004E3511" w:rsidRDefault="005B5830" w:rsidP="008045E6">
            <w:pPr>
              <w:pStyle w:val="NoSpacing"/>
              <w:jc w:val="center"/>
              <w:rPr>
                <w:rFonts w:ascii="Arial" w:hAnsi="Arial" w:cs="Arial"/>
                <w:b/>
              </w:rPr>
            </w:pPr>
          </w:p>
        </w:tc>
        <w:tc>
          <w:tcPr>
            <w:tcW w:w="1482" w:type="dxa"/>
            <w:shd w:val="clear" w:color="auto" w:fill="DEEAF6" w:themeFill="accent1" w:themeFillTint="33"/>
          </w:tcPr>
          <w:p w:rsidR="005B5830" w:rsidRPr="004E3511" w:rsidRDefault="005B5830" w:rsidP="008045E6">
            <w:pPr>
              <w:pStyle w:val="NoSpacing"/>
              <w:jc w:val="center"/>
              <w:rPr>
                <w:rFonts w:ascii="Arial" w:hAnsi="Arial" w:cs="Arial"/>
                <w:b/>
              </w:rPr>
            </w:pPr>
            <w:r>
              <w:rPr>
                <w:rFonts w:ascii="Arial" w:hAnsi="Arial" w:cs="Arial"/>
                <w:b/>
              </w:rPr>
              <w:t>131</w:t>
            </w:r>
          </w:p>
        </w:tc>
        <w:tc>
          <w:tcPr>
            <w:tcW w:w="1205" w:type="dxa"/>
            <w:shd w:val="clear" w:color="auto" w:fill="DEEAF6" w:themeFill="accent1" w:themeFillTint="33"/>
          </w:tcPr>
          <w:p w:rsidR="005B5830" w:rsidRPr="004E3511" w:rsidRDefault="005B5830" w:rsidP="008045E6">
            <w:pPr>
              <w:pStyle w:val="NoSpacing"/>
              <w:jc w:val="center"/>
              <w:rPr>
                <w:rFonts w:ascii="Arial" w:hAnsi="Arial" w:cs="Arial"/>
                <w:b/>
              </w:rPr>
            </w:pPr>
          </w:p>
        </w:tc>
        <w:tc>
          <w:tcPr>
            <w:tcW w:w="1314" w:type="dxa"/>
            <w:shd w:val="clear" w:color="auto" w:fill="FFFF00"/>
          </w:tcPr>
          <w:p w:rsidR="005B5830" w:rsidRPr="004E3511" w:rsidRDefault="005B5830" w:rsidP="008045E6">
            <w:pPr>
              <w:pStyle w:val="NoSpacing"/>
              <w:jc w:val="center"/>
              <w:rPr>
                <w:rFonts w:ascii="Arial" w:hAnsi="Arial" w:cs="Arial"/>
                <w:b/>
              </w:rPr>
            </w:pPr>
            <w:r>
              <w:rPr>
                <w:rFonts w:ascii="Arial" w:hAnsi="Arial" w:cs="Arial"/>
                <w:b/>
              </w:rPr>
              <w:t>531</w:t>
            </w:r>
          </w:p>
        </w:tc>
        <w:tc>
          <w:tcPr>
            <w:tcW w:w="1297" w:type="dxa"/>
            <w:shd w:val="clear" w:color="auto" w:fill="FFFF00"/>
          </w:tcPr>
          <w:p w:rsidR="005B5830" w:rsidRPr="004E3511" w:rsidRDefault="005B5830" w:rsidP="008045E6">
            <w:pPr>
              <w:pStyle w:val="NoSpacing"/>
              <w:jc w:val="center"/>
              <w:rPr>
                <w:rFonts w:ascii="Arial" w:hAnsi="Arial" w:cs="Arial"/>
                <w:b/>
              </w:rPr>
            </w:pPr>
          </w:p>
        </w:tc>
      </w:tr>
      <w:tr w:rsidR="005B5830" w:rsidRPr="004E3511" w:rsidTr="00994ECA">
        <w:tc>
          <w:tcPr>
            <w:tcW w:w="3215" w:type="dxa"/>
          </w:tcPr>
          <w:p w:rsidR="005B5830" w:rsidRPr="005B5830" w:rsidRDefault="005B5830" w:rsidP="005B5830">
            <w:pPr>
              <w:pStyle w:val="NoSpacing"/>
              <w:rPr>
                <w:rFonts w:ascii="Arial" w:hAnsi="Arial" w:cs="Arial"/>
              </w:rPr>
            </w:pPr>
            <w:r w:rsidRPr="005B5830">
              <w:rPr>
                <w:rFonts w:ascii="Arial" w:hAnsi="Arial" w:cs="Arial"/>
              </w:rPr>
              <w:t>Existing $</w:t>
            </w:r>
            <w:r w:rsidR="009D0A86">
              <w:rPr>
                <w:rFonts w:ascii="Arial" w:hAnsi="Arial" w:cs="Arial"/>
              </w:rPr>
              <w:t xml:space="preserve"> cost</w:t>
            </w:r>
          </w:p>
        </w:tc>
        <w:tc>
          <w:tcPr>
            <w:tcW w:w="1272" w:type="dxa"/>
            <w:shd w:val="clear" w:color="auto" w:fill="FFF2CC" w:themeFill="accent4" w:themeFillTint="33"/>
          </w:tcPr>
          <w:p w:rsidR="005B5830" w:rsidRDefault="005B5830" w:rsidP="008045E6">
            <w:pPr>
              <w:pStyle w:val="NoSpacing"/>
              <w:jc w:val="center"/>
              <w:rPr>
                <w:rFonts w:ascii="Arial" w:hAnsi="Arial" w:cs="Arial"/>
                <w:b/>
              </w:rPr>
            </w:pPr>
            <w:r>
              <w:rPr>
                <w:rFonts w:ascii="Arial" w:hAnsi="Arial" w:cs="Arial"/>
                <w:b/>
              </w:rPr>
              <w:t>$2.1m</w:t>
            </w:r>
          </w:p>
        </w:tc>
        <w:tc>
          <w:tcPr>
            <w:tcW w:w="1231" w:type="dxa"/>
            <w:shd w:val="clear" w:color="auto" w:fill="FFF2CC" w:themeFill="accent4" w:themeFillTint="33"/>
          </w:tcPr>
          <w:p w:rsidR="005B5830" w:rsidRPr="004E3511" w:rsidRDefault="005B5830" w:rsidP="008045E6">
            <w:pPr>
              <w:pStyle w:val="NoSpacing"/>
              <w:jc w:val="center"/>
              <w:rPr>
                <w:rFonts w:ascii="Arial" w:hAnsi="Arial" w:cs="Arial"/>
                <w:b/>
              </w:rPr>
            </w:pPr>
          </w:p>
        </w:tc>
        <w:tc>
          <w:tcPr>
            <w:tcW w:w="1482" w:type="dxa"/>
            <w:shd w:val="clear" w:color="auto" w:fill="DEEAF6" w:themeFill="accent1" w:themeFillTint="33"/>
          </w:tcPr>
          <w:p w:rsidR="005B5830" w:rsidRPr="004E3511" w:rsidRDefault="005B5830" w:rsidP="008045E6">
            <w:pPr>
              <w:pStyle w:val="NoSpacing"/>
              <w:jc w:val="center"/>
              <w:rPr>
                <w:rFonts w:ascii="Arial" w:hAnsi="Arial" w:cs="Arial"/>
                <w:b/>
              </w:rPr>
            </w:pPr>
            <w:r>
              <w:rPr>
                <w:rFonts w:ascii="Arial" w:hAnsi="Arial" w:cs="Arial"/>
                <w:b/>
              </w:rPr>
              <w:t>$9m</w:t>
            </w:r>
          </w:p>
        </w:tc>
        <w:tc>
          <w:tcPr>
            <w:tcW w:w="1205" w:type="dxa"/>
            <w:shd w:val="clear" w:color="auto" w:fill="DEEAF6" w:themeFill="accent1" w:themeFillTint="33"/>
          </w:tcPr>
          <w:p w:rsidR="005B5830" w:rsidRPr="004E3511" w:rsidRDefault="005B5830" w:rsidP="008045E6">
            <w:pPr>
              <w:pStyle w:val="NoSpacing"/>
              <w:jc w:val="center"/>
              <w:rPr>
                <w:rFonts w:ascii="Arial" w:hAnsi="Arial" w:cs="Arial"/>
                <w:b/>
              </w:rPr>
            </w:pPr>
          </w:p>
        </w:tc>
        <w:tc>
          <w:tcPr>
            <w:tcW w:w="1314" w:type="dxa"/>
            <w:shd w:val="clear" w:color="auto" w:fill="FFFF00"/>
          </w:tcPr>
          <w:p w:rsidR="005B5830" w:rsidRPr="004E3511" w:rsidRDefault="005B5830" w:rsidP="008045E6">
            <w:pPr>
              <w:pStyle w:val="NoSpacing"/>
              <w:jc w:val="center"/>
              <w:rPr>
                <w:rFonts w:ascii="Arial" w:hAnsi="Arial" w:cs="Arial"/>
                <w:b/>
              </w:rPr>
            </w:pPr>
            <w:r>
              <w:rPr>
                <w:rFonts w:ascii="Arial" w:hAnsi="Arial" w:cs="Arial"/>
                <w:b/>
              </w:rPr>
              <w:t>$37.4m</w:t>
            </w:r>
          </w:p>
        </w:tc>
        <w:tc>
          <w:tcPr>
            <w:tcW w:w="1297" w:type="dxa"/>
            <w:shd w:val="clear" w:color="auto" w:fill="FFFF00"/>
          </w:tcPr>
          <w:p w:rsidR="005B5830" w:rsidRPr="004E3511" w:rsidRDefault="005B5830" w:rsidP="008045E6">
            <w:pPr>
              <w:pStyle w:val="NoSpacing"/>
              <w:jc w:val="center"/>
              <w:rPr>
                <w:rFonts w:ascii="Arial" w:hAnsi="Arial" w:cs="Arial"/>
                <w:b/>
              </w:rPr>
            </w:pPr>
          </w:p>
        </w:tc>
      </w:tr>
      <w:tr w:rsidR="005B5830" w:rsidRPr="004E3511" w:rsidTr="00994ECA">
        <w:tc>
          <w:tcPr>
            <w:tcW w:w="3215" w:type="dxa"/>
          </w:tcPr>
          <w:p w:rsidR="005B5830" w:rsidRPr="004E3511" w:rsidRDefault="005B5830" w:rsidP="008045E6">
            <w:pPr>
              <w:pStyle w:val="NoSpacing"/>
              <w:rPr>
                <w:rFonts w:ascii="Arial" w:hAnsi="Arial" w:cs="Arial"/>
                <w:b/>
              </w:rPr>
            </w:pPr>
            <w:r>
              <w:rPr>
                <w:rFonts w:ascii="Arial" w:hAnsi="Arial" w:cs="Arial"/>
                <w:b/>
              </w:rPr>
              <w:t xml:space="preserve">Assessed future FTEs </w:t>
            </w:r>
          </w:p>
        </w:tc>
        <w:tc>
          <w:tcPr>
            <w:tcW w:w="1272" w:type="dxa"/>
            <w:shd w:val="clear" w:color="auto" w:fill="FFF2CC" w:themeFill="accent4" w:themeFillTint="33"/>
          </w:tcPr>
          <w:p w:rsidR="005B5830" w:rsidRPr="004E3511" w:rsidRDefault="005B5830" w:rsidP="008045E6">
            <w:pPr>
              <w:pStyle w:val="NoSpacing"/>
              <w:jc w:val="center"/>
              <w:rPr>
                <w:rFonts w:ascii="Arial" w:hAnsi="Arial" w:cs="Arial"/>
                <w:b/>
              </w:rPr>
            </w:pPr>
          </w:p>
        </w:tc>
        <w:tc>
          <w:tcPr>
            <w:tcW w:w="1231" w:type="dxa"/>
            <w:shd w:val="clear" w:color="auto" w:fill="FFF2CC" w:themeFill="accent4" w:themeFillTint="33"/>
          </w:tcPr>
          <w:p w:rsidR="005B5830" w:rsidRPr="004E3511" w:rsidRDefault="005B5830" w:rsidP="008045E6">
            <w:pPr>
              <w:pStyle w:val="NoSpacing"/>
              <w:jc w:val="center"/>
              <w:rPr>
                <w:rFonts w:ascii="Arial" w:hAnsi="Arial" w:cs="Arial"/>
                <w:b/>
              </w:rPr>
            </w:pPr>
            <w:r>
              <w:rPr>
                <w:rFonts w:ascii="Arial" w:hAnsi="Arial" w:cs="Arial"/>
                <w:b/>
              </w:rPr>
              <w:t>37</w:t>
            </w:r>
          </w:p>
        </w:tc>
        <w:tc>
          <w:tcPr>
            <w:tcW w:w="1482" w:type="dxa"/>
            <w:shd w:val="clear" w:color="auto" w:fill="DEEAF6" w:themeFill="accent1" w:themeFillTint="33"/>
          </w:tcPr>
          <w:p w:rsidR="005B5830" w:rsidRPr="004E3511" w:rsidRDefault="005B5830" w:rsidP="008045E6">
            <w:pPr>
              <w:pStyle w:val="NoSpacing"/>
              <w:jc w:val="center"/>
              <w:rPr>
                <w:rFonts w:ascii="Arial" w:hAnsi="Arial" w:cs="Arial"/>
                <w:b/>
              </w:rPr>
            </w:pPr>
          </w:p>
        </w:tc>
        <w:tc>
          <w:tcPr>
            <w:tcW w:w="1205" w:type="dxa"/>
            <w:shd w:val="clear" w:color="auto" w:fill="DEEAF6" w:themeFill="accent1" w:themeFillTint="33"/>
          </w:tcPr>
          <w:p w:rsidR="005B5830" w:rsidRPr="004E3511" w:rsidRDefault="005B5830" w:rsidP="008045E6">
            <w:pPr>
              <w:pStyle w:val="NoSpacing"/>
              <w:jc w:val="center"/>
              <w:rPr>
                <w:rFonts w:ascii="Arial" w:hAnsi="Arial" w:cs="Arial"/>
                <w:b/>
              </w:rPr>
            </w:pPr>
            <w:r>
              <w:rPr>
                <w:rFonts w:ascii="Arial" w:hAnsi="Arial" w:cs="Arial"/>
                <w:b/>
              </w:rPr>
              <w:t>95</w:t>
            </w:r>
          </w:p>
        </w:tc>
        <w:tc>
          <w:tcPr>
            <w:tcW w:w="1314" w:type="dxa"/>
            <w:shd w:val="clear" w:color="auto" w:fill="FFFF00"/>
          </w:tcPr>
          <w:p w:rsidR="005B5830" w:rsidRPr="004E3511" w:rsidRDefault="005B5830" w:rsidP="008045E6">
            <w:pPr>
              <w:pStyle w:val="NoSpacing"/>
              <w:jc w:val="center"/>
              <w:rPr>
                <w:rFonts w:ascii="Arial" w:hAnsi="Arial" w:cs="Arial"/>
                <w:b/>
              </w:rPr>
            </w:pPr>
          </w:p>
        </w:tc>
        <w:tc>
          <w:tcPr>
            <w:tcW w:w="1297" w:type="dxa"/>
            <w:shd w:val="clear" w:color="auto" w:fill="FFFF00"/>
          </w:tcPr>
          <w:p w:rsidR="005B5830" w:rsidRPr="004E3511" w:rsidRDefault="005B5830" w:rsidP="008045E6">
            <w:pPr>
              <w:pStyle w:val="NoSpacing"/>
              <w:jc w:val="center"/>
              <w:rPr>
                <w:rFonts w:ascii="Arial" w:hAnsi="Arial" w:cs="Arial"/>
                <w:b/>
              </w:rPr>
            </w:pPr>
            <w:r>
              <w:rPr>
                <w:rFonts w:ascii="Arial" w:hAnsi="Arial" w:cs="Arial"/>
                <w:b/>
              </w:rPr>
              <w:t>312</w:t>
            </w:r>
          </w:p>
        </w:tc>
      </w:tr>
      <w:tr w:rsidR="005B5830" w:rsidRPr="004E3511" w:rsidTr="00994ECA">
        <w:tc>
          <w:tcPr>
            <w:tcW w:w="3215" w:type="dxa"/>
          </w:tcPr>
          <w:p w:rsidR="005B5830" w:rsidRPr="004E3511" w:rsidRDefault="005B5830" w:rsidP="008045E6">
            <w:pPr>
              <w:pStyle w:val="NoSpacing"/>
              <w:rPr>
                <w:rFonts w:ascii="Arial" w:hAnsi="Arial" w:cs="Arial"/>
                <w:b/>
              </w:rPr>
            </w:pPr>
            <w:r>
              <w:rPr>
                <w:rFonts w:ascii="Arial" w:hAnsi="Arial" w:cs="Arial"/>
                <w:b/>
              </w:rPr>
              <w:t>Total $ assessed</w:t>
            </w:r>
          </w:p>
        </w:tc>
        <w:tc>
          <w:tcPr>
            <w:tcW w:w="1272" w:type="dxa"/>
            <w:shd w:val="clear" w:color="auto" w:fill="FFF2CC" w:themeFill="accent4" w:themeFillTint="33"/>
          </w:tcPr>
          <w:p w:rsidR="005B5830" w:rsidRPr="004E3511" w:rsidRDefault="005B5830" w:rsidP="008045E6">
            <w:pPr>
              <w:pStyle w:val="NoSpacing"/>
              <w:jc w:val="center"/>
              <w:rPr>
                <w:rFonts w:ascii="Arial" w:hAnsi="Arial" w:cs="Arial"/>
                <w:b/>
              </w:rPr>
            </w:pPr>
          </w:p>
        </w:tc>
        <w:tc>
          <w:tcPr>
            <w:tcW w:w="1231" w:type="dxa"/>
            <w:shd w:val="clear" w:color="auto" w:fill="FFF2CC" w:themeFill="accent4" w:themeFillTint="33"/>
          </w:tcPr>
          <w:p w:rsidR="005B5830" w:rsidRPr="004E3511" w:rsidRDefault="005B5830" w:rsidP="008045E6">
            <w:pPr>
              <w:pStyle w:val="NoSpacing"/>
              <w:jc w:val="center"/>
              <w:rPr>
                <w:rFonts w:ascii="Arial" w:hAnsi="Arial" w:cs="Arial"/>
                <w:b/>
              </w:rPr>
            </w:pPr>
            <w:r>
              <w:rPr>
                <w:rFonts w:ascii="Arial" w:hAnsi="Arial" w:cs="Arial"/>
                <w:b/>
              </w:rPr>
              <w:t>$2.1 m</w:t>
            </w:r>
          </w:p>
        </w:tc>
        <w:tc>
          <w:tcPr>
            <w:tcW w:w="1482" w:type="dxa"/>
            <w:shd w:val="clear" w:color="auto" w:fill="DEEAF6" w:themeFill="accent1" w:themeFillTint="33"/>
          </w:tcPr>
          <w:p w:rsidR="005B5830" w:rsidRPr="004E3511" w:rsidRDefault="005B5830" w:rsidP="008045E6">
            <w:pPr>
              <w:pStyle w:val="NoSpacing"/>
              <w:jc w:val="center"/>
              <w:rPr>
                <w:rFonts w:ascii="Arial" w:hAnsi="Arial" w:cs="Arial"/>
                <w:b/>
              </w:rPr>
            </w:pPr>
          </w:p>
        </w:tc>
        <w:tc>
          <w:tcPr>
            <w:tcW w:w="1205" w:type="dxa"/>
            <w:shd w:val="clear" w:color="auto" w:fill="DEEAF6" w:themeFill="accent1" w:themeFillTint="33"/>
          </w:tcPr>
          <w:p w:rsidR="005B5830" w:rsidRPr="004E3511" w:rsidRDefault="005B5830" w:rsidP="008045E6">
            <w:pPr>
              <w:pStyle w:val="NoSpacing"/>
              <w:jc w:val="center"/>
              <w:rPr>
                <w:rFonts w:ascii="Arial" w:hAnsi="Arial" w:cs="Arial"/>
                <w:b/>
              </w:rPr>
            </w:pPr>
            <w:r>
              <w:rPr>
                <w:rFonts w:ascii="Arial" w:hAnsi="Arial" w:cs="Arial"/>
                <w:b/>
              </w:rPr>
              <w:t>$6.5m</w:t>
            </w:r>
          </w:p>
        </w:tc>
        <w:tc>
          <w:tcPr>
            <w:tcW w:w="1314" w:type="dxa"/>
            <w:shd w:val="clear" w:color="auto" w:fill="FFFF00"/>
          </w:tcPr>
          <w:p w:rsidR="005B5830" w:rsidRPr="004E3511" w:rsidRDefault="005B5830" w:rsidP="008045E6">
            <w:pPr>
              <w:pStyle w:val="NoSpacing"/>
              <w:jc w:val="center"/>
              <w:rPr>
                <w:rFonts w:ascii="Arial" w:hAnsi="Arial" w:cs="Arial"/>
                <w:b/>
              </w:rPr>
            </w:pPr>
          </w:p>
        </w:tc>
        <w:tc>
          <w:tcPr>
            <w:tcW w:w="1297" w:type="dxa"/>
            <w:shd w:val="clear" w:color="auto" w:fill="FFFF00"/>
          </w:tcPr>
          <w:p w:rsidR="005B5830" w:rsidRPr="004E3511" w:rsidRDefault="005B5830" w:rsidP="008045E6">
            <w:pPr>
              <w:pStyle w:val="NoSpacing"/>
              <w:jc w:val="center"/>
              <w:rPr>
                <w:rFonts w:ascii="Arial" w:hAnsi="Arial" w:cs="Arial"/>
                <w:b/>
              </w:rPr>
            </w:pPr>
            <w:r>
              <w:rPr>
                <w:rFonts w:ascii="Arial" w:hAnsi="Arial" w:cs="Arial"/>
                <w:b/>
              </w:rPr>
              <w:t>$21.5m</w:t>
            </w:r>
          </w:p>
        </w:tc>
      </w:tr>
      <w:tr w:rsidR="005B5830" w:rsidRPr="004E3511" w:rsidTr="00994ECA">
        <w:tc>
          <w:tcPr>
            <w:tcW w:w="3215" w:type="dxa"/>
          </w:tcPr>
          <w:p w:rsidR="005B5830" w:rsidRPr="004E3511" w:rsidRDefault="005B5830" w:rsidP="008045E6">
            <w:pPr>
              <w:pStyle w:val="NoSpacing"/>
              <w:rPr>
                <w:rFonts w:ascii="Arial" w:hAnsi="Arial" w:cs="Arial"/>
                <w:b/>
              </w:rPr>
            </w:pPr>
            <w:r>
              <w:rPr>
                <w:rFonts w:ascii="Arial" w:hAnsi="Arial" w:cs="Arial"/>
                <w:b/>
              </w:rPr>
              <w:t>Savings- from year 4 onwards</w:t>
            </w:r>
          </w:p>
        </w:tc>
        <w:tc>
          <w:tcPr>
            <w:tcW w:w="1272" w:type="dxa"/>
            <w:shd w:val="clear" w:color="auto" w:fill="FFF2CC" w:themeFill="accent4" w:themeFillTint="33"/>
          </w:tcPr>
          <w:p w:rsidR="005B5830" w:rsidRPr="004E3511" w:rsidRDefault="005B5830" w:rsidP="008045E6">
            <w:pPr>
              <w:pStyle w:val="NoSpacing"/>
              <w:jc w:val="center"/>
              <w:rPr>
                <w:rFonts w:ascii="Arial" w:hAnsi="Arial" w:cs="Arial"/>
                <w:b/>
              </w:rPr>
            </w:pPr>
          </w:p>
        </w:tc>
        <w:tc>
          <w:tcPr>
            <w:tcW w:w="1231" w:type="dxa"/>
            <w:shd w:val="clear" w:color="auto" w:fill="FFF2CC" w:themeFill="accent4" w:themeFillTint="33"/>
          </w:tcPr>
          <w:p w:rsidR="005B5830" w:rsidRPr="004E3511" w:rsidRDefault="005B5830" w:rsidP="008045E6">
            <w:pPr>
              <w:pStyle w:val="NoSpacing"/>
              <w:jc w:val="center"/>
              <w:rPr>
                <w:rFonts w:ascii="Arial" w:hAnsi="Arial" w:cs="Arial"/>
                <w:b/>
              </w:rPr>
            </w:pPr>
            <w:r>
              <w:rPr>
                <w:rFonts w:ascii="Arial" w:hAnsi="Arial" w:cs="Arial"/>
                <w:b/>
              </w:rPr>
              <w:t>0</w:t>
            </w:r>
          </w:p>
        </w:tc>
        <w:tc>
          <w:tcPr>
            <w:tcW w:w="1482" w:type="dxa"/>
            <w:shd w:val="clear" w:color="auto" w:fill="DEEAF6" w:themeFill="accent1" w:themeFillTint="33"/>
          </w:tcPr>
          <w:p w:rsidR="005B5830" w:rsidRPr="004E3511" w:rsidRDefault="005B5830" w:rsidP="008045E6">
            <w:pPr>
              <w:pStyle w:val="NoSpacing"/>
              <w:jc w:val="center"/>
              <w:rPr>
                <w:rFonts w:ascii="Arial" w:hAnsi="Arial" w:cs="Arial"/>
                <w:b/>
              </w:rPr>
            </w:pPr>
          </w:p>
        </w:tc>
        <w:tc>
          <w:tcPr>
            <w:tcW w:w="1205" w:type="dxa"/>
            <w:shd w:val="clear" w:color="auto" w:fill="DEEAF6" w:themeFill="accent1" w:themeFillTint="33"/>
          </w:tcPr>
          <w:p w:rsidR="005B5830" w:rsidRPr="004E3511" w:rsidRDefault="005B5830" w:rsidP="008045E6">
            <w:pPr>
              <w:pStyle w:val="NoSpacing"/>
              <w:jc w:val="center"/>
              <w:rPr>
                <w:rFonts w:ascii="Arial" w:hAnsi="Arial" w:cs="Arial"/>
                <w:b/>
              </w:rPr>
            </w:pPr>
            <w:r>
              <w:rPr>
                <w:rFonts w:ascii="Arial" w:hAnsi="Arial" w:cs="Arial"/>
                <w:b/>
              </w:rPr>
              <w:t>$2.5m</w:t>
            </w:r>
          </w:p>
        </w:tc>
        <w:tc>
          <w:tcPr>
            <w:tcW w:w="1314" w:type="dxa"/>
            <w:shd w:val="clear" w:color="auto" w:fill="FFFF00"/>
          </w:tcPr>
          <w:p w:rsidR="005B5830" w:rsidRPr="004E3511" w:rsidRDefault="005B5830" w:rsidP="008045E6">
            <w:pPr>
              <w:pStyle w:val="NoSpacing"/>
              <w:jc w:val="center"/>
              <w:rPr>
                <w:rFonts w:ascii="Arial" w:hAnsi="Arial" w:cs="Arial"/>
                <w:b/>
              </w:rPr>
            </w:pPr>
          </w:p>
        </w:tc>
        <w:tc>
          <w:tcPr>
            <w:tcW w:w="1297" w:type="dxa"/>
            <w:shd w:val="clear" w:color="auto" w:fill="FFFF00"/>
          </w:tcPr>
          <w:p w:rsidR="005B5830" w:rsidRPr="004E3511" w:rsidRDefault="005B5830" w:rsidP="008045E6">
            <w:pPr>
              <w:pStyle w:val="NoSpacing"/>
              <w:jc w:val="center"/>
              <w:rPr>
                <w:rFonts w:ascii="Arial" w:hAnsi="Arial" w:cs="Arial"/>
                <w:b/>
              </w:rPr>
            </w:pPr>
            <w:r>
              <w:rPr>
                <w:rFonts w:ascii="Arial" w:hAnsi="Arial" w:cs="Arial"/>
                <w:b/>
              </w:rPr>
              <w:t>$15.9m</w:t>
            </w:r>
          </w:p>
        </w:tc>
      </w:tr>
    </w:tbl>
    <w:p w:rsidR="005B5830" w:rsidRDefault="005B5830" w:rsidP="005B5830"/>
    <w:p w:rsidR="005B5830" w:rsidRPr="009D0A86" w:rsidRDefault="005B5830" w:rsidP="009D0A86">
      <w:pPr>
        <w:pStyle w:val="NoSpacing"/>
        <w:rPr>
          <w:rFonts w:ascii="Arial" w:hAnsi="Arial" w:cs="Arial"/>
        </w:rPr>
      </w:pPr>
      <w:r w:rsidRPr="009D0A86">
        <w:rPr>
          <w:rFonts w:ascii="Arial" w:hAnsi="Arial" w:cs="Arial"/>
        </w:rPr>
        <w:t>The summary table shows savings in years 1-3. It is assumed that about 70% of the staff rationalisation will occur in year 1.</w:t>
      </w:r>
    </w:p>
    <w:p w:rsidR="005B5830" w:rsidRPr="009D0A86" w:rsidRDefault="005B5830" w:rsidP="009D0A86">
      <w:pPr>
        <w:pStyle w:val="NoSpacing"/>
        <w:rPr>
          <w:rFonts w:ascii="Arial" w:hAnsi="Arial" w:cs="Arial"/>
        </w:rPr>
      </w:pPr>
    </w:p>
    <w:p w:rsidR="005B5830" w:rsidRPr="009D0A86" w:rsidRDefault="005B5830" w:rsidP="009D0A86">
      <w:pPr>
        <w:pStyle w:val="NoSpacing"/>
        <w:rPr>
          <w:rFonts w:ascii="Arial" w:hAnsi="Arial" w:cs="Arial"/>
        </w:rPr>
      </w:pPr>
      <w:r w:rsidRPr="009D0A86">
        <w:rPr>
          <w:rFonts w:ascii="Arial" w:hAnsi="Arial" w:cs="Arial"/>
        </w:rPr>
        <w:t>It is considered that the exis</w:t>
      </w:r>
      <w:r w:rsidR="009D0A86">
        <w:rPr>
          <w:rFonts w:ascii="Arial" w:hAnsi="Arial" w:cs="Arial"/>
        </w:rPr>
        <w:t>ting Wairarapa councils are minimal</w:t>
      </w:r>
      <w:r w:rsidRPr="009D0A86">
        <w:rPr>
          <w:rFonts w:ascii="Arial" w:hAnsi="Arial" w:cs="Arial"/>
        </w:rPr>
        <w:t xml:space="preserve"> in corporate support</w:t>
      </w:r>
      <w:r w:rsidR="009D0A86">
        <w:rPr>
          <w:rFonts w:ascii="Arial" w:hAnsi="Arial" w:cs="Arial"/>
        </w:rPr>
        <w:t xml:space="preserve"> numbers</w:t>
      </w:r>
      <w:r w:rsidRPr="009D0A86">
        <w:rPr>
          <w:rFonts w:ascii="Arial" w:hAnsi="Arial" w:cs="Arial"/>
        </w:rPr>
        <w:t>. We do not see any potential savings in corporate support costs in a future ‘One Wairarapa’ council.</w:t>
      </w:r>
    </w:p>
    <w:p w:rsidR="005B5830" w:rsidRDefault="005B5830" w:rsidP="00363282">
      <w:pPr>
        <w:pStyle w:val="NoSpacing"/>
        <w:rPr>
          <w:rFonts w:ascii="Arial" w:hAnsi="Arial" w:cs="Arial"/>
        </w:rPr>
      </w:pPr>
    </w:p>
    <w:p w:rsidR="00994ECA" w:rsidRDefault="00994ECA" w:rsidP="00363282">
      <w:pPr>
        <w:pStyle w:val="NoSpacing"/>
        <w:rPr>
          <w:rFonts w:ascii="Arial" w:hAnsi="Arial" w:cs="Arial"/>
        </w:rPr>
      </w:pPr>
    </w:p>
    <w:p w:rsidR="00994ECA" w:rsidRDefault="00994ECA" w:rsidP="00363282">
      <w:pPr>
        <w:pStyle w:val="NoSpacing"/>
        <w:rPr>
          <w:rFonts w:ascii="Arial" w:hAnsi="Arial" w:cs="Arial"/>
        </w:rPr>
      </w:pPr>
    </w:p>
    <w:p w:rsidR="00994ECA" w:rsidRDefault="00994ECA" w:rsidP="00363282">
      <w:pPr>
        <w:pStyle w:val="NoSpacing"/>
        <w:rPr>
          <w:rFonts w:ascii="Arial" w:hAnsi="Arial" w:cs="Arial"/>
        </w:rPr>
      </w:pPr>
    </w:p>
    <w:p w:rsidR="00994ECA" w:rsidRDefault="00994ECA" w:rsidP="00363282">
      <w:pPr>
        <w:pStyle w:val="NoSpacing"/>
        <w:rPr>
          <w:rFonts w:ascii="Arial" w:hAnsi="Arial" w:cs="Arial"/>
        </w:rPr>
      </w:pPr>
    </w:p>
    <w:p w:rsidR="00994ECA" w:rsidRDefault="00994ECA" w:rsidP="00363282">
      <w:pPr>
        <w:pStyle w:val="NoSpacing"/>
        <w:rPr>
          <w:rFonts w:ascii="Arial" w:hAnsi="Arial" w:cs="Arial"/>
        </w:rPr>
      </w:pPr>
    </w:p>
    <w:p w:rsidR="00994ECA" w:rsidRDefault="00994ECA" w:rsidP="00363282">
      <w:pPr>
        <w:pStyle w:val="NoSpacing"/>
        <w:rPr>
          <w:rFonts w:ascii="Arial" w:hAnsi="Arial" w:cs="Arial"/>
        </w:rPr>
      </w:pPr>
    </w:p>
    <w:p w:rsidR="00994ECA" w:rsidRDefault="00994ECA" w:rsidP="00363282">
      <w:pPr>
        <w:pStyle w:val="NoSpacing"/>
        <w:rPr>
          <w:rFonts w:ascii="Arial" w:hAnsi="Arial" w:cs="Arial"/>
        </w:rPr>
      </w:pPr>
    </w:p>
    <w:p w:rsidR="00994ECA" w:rsidRDefault="00994ECA" w:rsidP="00994ECA"/>
    <w:p w:rsidR="00994ECA" w:rsidRDefault="00994ECA" w:rsidP="00994ECA">
      <w:pPr>
        <w:pStyle w:val="ListParagraph"/>
        <w:numPr>
          <w:ilvl w:val="0"/>
          <w:numId w:val="14"/>
        </w:numPr>
        <w:jc w:val="left"/>
        <w:rPr>
          <w:i/>
        </w:rPr>
      </w:pPr>
      <w:r w:rsidRPr="005D0D41">
        <w:rPr>
          <w:i/>
        </w:rPr>
        <w:lastRenderedPageBreak/>
        <w:t>Assumptions on Corporate savings other than personnel costs</w:t>
      </w:r>
    </w:p>
    <w:p w:rsidR="002B7948" w:rsidRPr="002B7948" w:rsidRDefault="002B7948" w:rsidP="002B7948">
      <w:pPr>
        <w:ind w:left="360"/>
        <w:rPr>
          <w:i/>
        </w:rPr>
      </w:pPr>
    </w:p>
    <w:p w:rsidR="002B7948" w:rsidRDefault="002B7948" w:rsidP="002B7948">
      <w:pPr>
        <w:pStyle w:val="NoSpacing"/>
        <w:rPr>
          <w:rFonts w:ascii="Arial" w:hAnsi="Arial" w:cs="Arial"/>
          <w:i/>
        </w:rPr>
      </w:pPr>
      <w:r>
        <w:rPr>
          <w:rFonts w:ascii="Arial" w:hAnsi="Arial" w:cs="Arial"/>
          <w:i/>
        </w:rPr>
        <w:t>Table 4</w:t>
      </w:r>
      <w:r w:rsidRPr="002B7948">
        <w:rPr>
          <w:rFonts w:ascii="Arial" w:hAnsi="Arial" w:cs="Arial"/>
          <w:i/>
        </w:rPr>
        <w:t xml:space="preserve">   Option</w:t>
      </w:r>
      <w:r>
        <w:rPr>
          <w:rFonts w:ascii="Arial" w:hAnsi="Arial" w:cs="Arial"/>
          <w:i/>
        </w:rPr>
        <w:t>s</w:t>
      </w:r>
      <w:r w:rsidRPr="002B7948">
        <w:rPr>
          <w:rFonts w:ascii="Arial" w:hAnsi="Arial" w:cs="Arial"/>
          <w:i/>
        </w:rPr>
        <w:t xml:space="preserve"> 2.1-2.3; Assumptions on Corporate Support</w:t>
      </w:r>
      <w:r>
        <w:rPr>
          <w:rFonts w:ascii="Arial" w:hAnsi="Arial" w:cs="Arial"/>
          <w:i/>
        </w:rPr>
        <w:t xml:space="preserve"> non-</w:t>
      </w:r>
      <w:r w:rsidRPr="002B7948">
        <w:rPr>
          <w:rFonts w:ascii="Arial" w:hAnsi="Arial" w:cs="Arial"/>
          <w:i/>
        </w:rPr>
        <w:t xml:space="preserve"> personnel savings</w:t>
      </w:r>
    </w:p>
    <w:p w:rsidR="00994ECA" w:rsidRDefault="00994ECA" w:rsidP="00994ECA">
      <w:pPr>
        <w:rPr>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8"/>
        <w:gridCol w:w="720"/>
        <w:gridCol w:w="720"/>
        <w:gridCol w:w="720"/>
        <w:gridCol w:w="1080"/>
        <w:gridCol w:w="5148"/>
      </w:tblGrid>
      <w:tr w:rsidR="00994ECA" w:rsidRPr="0019523A" w:rsidTr="00994ECA">
        <w:tc>
          <w:tcPr>
            <w:tcW w:w="2628" w:type="dxa"/>
            <w:shd w:val="clear" w:color="auto" w:fill="F2F2F2" w:themeFill="background1" w:themeFillShade="F2"/>
          </w:tcPr>
          <w:p w:rsidR="00994ECA" w:rsidRPr="0019523A" w:rsidRDefault="00994ECA" w:rsidP="008045E6">
            <w:pPr>
              <w:pStyle w:val="NoSpacing"/>
              <w:rPr>
                <w:rFonts w:ascii="Arial" w:hAnsi="Arial" w:cs="Arial"/>
                <w:i/>
              </w:rPr>
            </w:pPr>
          </w:p>
          <w:p w:rsidR="00994ECA" w:rsidRPr="0019523A" w:rsidRDefault="00994ECA" w:rsidP="008045E6">
            <w:pPr>
              <w:pStyle w:val="NoSpacing"/>
              <w:rPr>
                <w:rFonts w:ascii="Arial" w:hAnsi="Arial" w:cs="Arial"/>
                <w:i/>
              </w:rPr>
            </w:pPr>
            <w:r>
              <w:rPr>
                <w:rFonts w:ascii="Arial" w:hAnsi="Arial" w:cs="Arial"/>
                <w:i/>
              </w:rPr>
              <w:t xml:space="preserve">Option 2.1- 2.3 </w:t>
            </w:r>
          </w:p>
        </w:tc>
        <w:tc>
          <w:tcPr>
            <w:tcW w:w="2160" w:type="dxa"/>
            <w:gridSpan w:val="3"/>
            <w:shd w:val="clear" w:color="auto" w:fill="F2F2F2" w:themeFill="background1" w:themeFillShade="F2"/>
          </w:tcPr>
          <w:p w:rsidR="00994ECA" w:rsidRPr="0019523A" w:rsidRDefault="00994ECA" w:rsidP="008045E6">
            <w:pPr>
              <w:pStyle w:val="NoSpacing"/>
              <w:rPr>
                <w:rFonts w:ascii="Arial" w:hAnsi="Arial" w:cs="Arial"/>
                <w:i/>
              </w:rPr>
            </w:pPr>
            <w:r w:rsidRPr="0019523A">
              <w:rPr>
                <w:rFonts w:ascii="Arial" w:hAnsi="Arial" w:cs="Arial"/>
                <w:i/>
              </w:rPr>
              <w:t xml:space="preserve">    Transition Years</w:t>
            </w:r>
          </w:p>
          <w:p w:rsidR="00994ECA" w:rsidRPr="0019523A" w:rsidRDefault="00994ECA" w:rsidP="008045E6">
            <w:pPr>
              <w:pStyle w:val="NoSpacing"/>
              <w:rPr>
                <w:rFonts w:ascii="Arial" w:hAnsi="Arial" w:cs="Arial"/>
                <w:i/>
              </w:rPr>
            </w:pPr>
          </w:p>
          <w:p w:rsidR="00994ECA" w:rsidRDefault="00994ECA" w:rsidP="008045E6">
            <w:pPr>
              <w:pStyle w:val="NoSpacing"/>
              <w:rPr>
                <w:rFonts w:ascii="Arial" w:hAnsi="Arial" w:cs="Arial"/>
                <w:i/>
              </w:rPr>
            </w:pPr>
            <w:r w:rsidRPr="0019523A">
              <w:rPr>
                <w:rFonts w:ascii="Arial" w:hAnsi="Arial" w:cs="Arial"/>
                <w:i/>
              </w:rPr>
              <w:t>Yr 1      Yr 2     Yr3</w:t>
            </w:r>
          </w:p>
          <w:p w:rsidR="00994ECA" w:rsidRPr="0019523A" w:rsidRDefault="00994ECA" w:rsidP="008045E6">
            <w:pPr>
              <w:pStyle w:val="NoSpacing"/>
              <w:rPr>
                <w:rFonts w:ascii="Arial" w:hAnsi="Arial" w:cs="Arial"/>
                <w:i/>
              </w:rPr>
            </w:pPr>
          </w:p>
        </w:tc>
        <w:tc>
          <w:tcPr>
            <w:tcW w:w="1080" w:type="dxa"/>
            <w:shd w:val="clear" w:color="auto" w:fill="F2F2F2" w:themeFill="background1" w:themeFillShade="F2"/>
          </w:tcPr>
          <w:p w:rsidR="00994ECA" w:rsidRPr="0019523A" w:rsidRDefault="00994ECA" w:rsidP="008045E6">
            <w:pPr>
              <w:pStyle w:val="NoSpacing"/>
              <w:rPr>
                <w:rFonts w:ascii="Arial" w:hAnsi="Arial" w:cs="Arial"/>
                <w:i/>
              </w:rPr>
            </w:pPr>
            <w:r w:rsidRPr="0019523A">
              <w:rPr>
                <w:rFonts w:ascii="Arial" w:hAnsi="Arial" w:cs="Arial"/>
                <w:i/>
              </w:rPr>
              <w:t>Year 4 onwards</w:t>
            </w:r>
          </w:p>
          <w:p w:rsidR="00994ECA" w:rsidRPr="0019523A" w:rsidRDefault="00994ECA" w:rsidP="008045E6">
            <w:pPr>
              <w:pStyle w:val="NoSpacing"/>
              <w:rPr>
                <w:rFonts w:ascii="Arial" w:hAnsi="Arial" w:cs="Arial"/>
                <w:i/>
              </w:rPr>
            </w:pPr>
          </w:p>
        </w:tc>
        <w:tc>
          <w:tcPr>
            <w:tcW w:w="5148" w:type="dxa"/>
            <w:shd w:val="clear" w:color="auto" w:fill="F2F2F2" w:themeFill="background1" w:themeFillShade="F2"/>
          </w:tcPr>
          <w:p w:rsidR="00994ECA" w:rsidRPr="0019523A" w:rsidRDefault="00994ECA" w:rsidP="008045E6">
            <w:pPr>
              <w:pStyle w:val="NoSpacing"/>
              <w:rPr>
                <w:rFonts w:ascii="Arial" w:hAnsi="Arial" w:cs="Arial"/>
                <w:i/>
              </w:rPr>
            </w:pPr>
          </w:p>
          <w:p w:rsidR="00994ECA" w:rsidRPr="0019523A" w:rsidRDefault="00994ECA" w:rsidP="008045E6">
            <w:pPr>
              <w:pStyle w:val="NoSpacing"/>
              <w:rPr>
                <w:rFonts w:ascii="Arial" w:hAnsi="Arial" w:cs="Arial"/>
                <w:i/>
              </w:rPr>
            </w:pPr>
            <w:r w:rsidRPr="0019523A">
              <w:rPr>
                <w:rFonts w:ascii="Arial" w:hAnsi="Arial" w:cs="Arial"/>
                <w:i/>
              </w:rPr>
              <w:t>Comments/rationale</w:t>
            </w:r>
          </w:p>
        </w:tc>
      </w:tr>
      <w:tr w:rsidR="00994ECA" w:rsidRPr="0019523A" w:rsidTr="008045E6">
        <w:tc>
          <w:tcPr>
            <w:tcW w:w="2628" w:type="dxa"/>
          </w:tcPr>
          <w:p w:rsidR="00994ECA" w:rsidRDefault="00994ECA" w:rsidP="008045E6">
            <w:pPr>
              <w:pStyle w:val="NoSpacing"/>
              <w:rPr>
                <w:rFonts w:ascii="Arial" w:hAnsi="Arial" w:cs="Arial"/>
              </w:rPr>
            </w:pPr>
            <w:r>
              <w:rPr>
                <w:rFonts w:ascii="Arial" w:hAnsi="Arial" w:cs="Arial"/>
              </w:rPr>
              <w:t>One Wairarapa Council</w:t>
            </w:r>
          </w:p>
          <w:p w:rsidR="00994ECA" w:rsidRPr="0019523A" w:rsidRDefault="00994ECA" w:rsidP="008045E6">
            <w:pPr>
              <w:pStyle w:val="NoSpacing"/>
              <w:rPr>
                <w:rFonts w:ascii="Arial" w:hAnsi="Arial" w:cs="Arial"/>
              </w:rPr>
            </w:pPr>
            <w:r>
              <w:rPr>
                <w:rFonts w:ascii="Arial" w:hAnsi="Arial" w:cs="Arial"/>
              </w:rPr>
              <w:t>(option 2.1)</w:t>
            </w:r>
          </w:p>
        </w:tc>
        <w:tc>
          <w:tcPr>
            <w:tcW w:w="720" w:type="dxa"/>
          </w:tcPr>
          <w:p w:rsidR="00994ECA" w:rsidRPr="0019523A" w:rsidRDefault="00994ECA" w:rsidP="008045E6">
            <w:pPr>
              <w:pStyle w:val="NoSpacing"/>
              <w:rPr>
                <w:rFonts w:ascii="Arial" w:hAnsi="Arial" w:cs="Arial"/>
              </w:rPr>
            </w:pPr>
            <w:r>
              <w:rPr>
                <w:rFonts w:ascii="Arial" w:hAnsi="Arial" w:cs="Arial"/>
              </w:rPr>
              <w:t>0.5%</w:t>
            </w:r>
          </w:p>
        </w:tc>
        <w:tc>
          <w:tcPr>
            <w:tcW w:w="720" w:type="dxa"/>
          </w:tcPr>
          <w:p w:rsidR="00994ECA" w:rsidRPr="0019523A" w:rsidRDefault="00994ECA" w:rsidP="008045E6">
            <w:pPr>
              <w:pStyle w:val="NoSpacing"/>
              <w:rPr>
                <w:rFonts w:ascii="Arial" w:hAnsi="Arial" w:cs="Arial"/>
              </w:rPr>
            </w:pPr>
            <w:r>
              <w:rPr>
                <w:rFonts w:ascii="Arial" w:hAnsi="Arial" w:cs="Arial"/>
              </w:rPr>
              <w:t>1%</w:t>
            </w:r>
          </w:p>
        </w:tc>
        <w:tc>
          <w:tcPr>
            <w:tcW w:w="720" w:type="dxa"/>
          </w:tcPr>
          <w:p w:rsidR="00994ECA" w:rsidRPr="0019523A" w:rsidRDefault="00994ECA" w:rsidP="008045E6">
            <w:pPr>
              <w:pStyle w:val="NoSpacing"/>
              <w:rPr>
                <w:rFonts w:ascii="Arial" w:hAnsi="Arial" w:cs="Arial"/>
              </w:rPr>
            </w:pPr>
            <w:r>
              <w:rPr>
                <w:rFonts w:ascii="Arial" w:hAnsi="Arial" w:cs="Arial"/>
              </w:rPr>
              <w:t>1.5%</w:t>
            </w:r>
          </w:p>
        </w:tc>
        <w:tc>
          <w:tcPr>
            <w:tcW w:w="1080" w:type="dxa"/>
          </w:tcPr>
          <w:p w:rsidR="00994ECA" w:rsidRPr="0019523A" w:rsidRDefault="00994ECA" w:rsidP="008045E6">
            <w:pPr>
              <w:pStyle w:val="NoSpacing"/>
              <w:rPr>
                <w:rFonts w:ascii="Arial" w:hAnsi="Arial" w:cs="Arial"/>
              </w:rPr>
            </w:pPr>
            <w:r>
              <w:rPr>
                <w:rFonts w:ascii="Arial" w:hAnsi="Arial" w:cs="Arial"/>
              </w:rPr>
              <w:t>1.5%</w:t>
            </w:r>
          </w:p>
        </w:tc>
        <w:tc>
          <w:tcPr>
            <w:tcW w:w="5148" w:type="dxa"/>
          </w:tcPr>
          <w:p w:rsidR="00994ECA" w:rsidRDefault="00994ECA" w:rsidP="008045E6">
            <w:pPr>
              <w:pStyle w:val="NoSpacing"/>
              <w:rPr>
                <w:rFonts w:ascii="Arial" w:hAnsi="Arial" w:cs="Arial"/>
              </w:rPr>
            </w:pPr>
            <w:r>
              <w:rPr>
                <w:rFonts w:ascii="Arial" w:hAnsi="Arial" w:cs="Arial"/>
              </w:rPr>
              <w:t>Longer term reduction of 1.5% is less than other scenarios given that existing corporate support numbers are minimal.</w:t>
            </w:r>
          </w:p>
          <w:p w:rsidR="00994ECA" w:rsidRDefault="00994ECA" w:rsidP="008045E6">
            <w:pPr>
              <w:pStyle w:val="NoSpacing"/>
              <w:rPr>
                <w:rFonts w:ascii="Arial" w:hAnsi="Arial" w:cs="Arial"/>
              </w:rPr>
            </w:pPr>
            <w:r>
              <w:rPr>
                <w:rFonts w:ascii="Arial" w:hAnsi="Arial" w:cs="Arial"/>
              </w:rPr>
              <w:t>Graduated reduction over three years.</w:t>
            </w:r>
          </w:p>
          <w:p w:rsidR="00994ECA" w:rsidRPr="0019523A" w:rsidRDefault="00994ECA" w:rsidP="008045E6">
            <w:pPr>
              <w:pStyle w:val="NoSpacing"/>
              <w:rPr>
                <w:rFonts w:ascii="Arial" w:hAnsi="Arial" w:cs="Arial"/>
              </w:rPr>
            </w:pPr>
          </w:p>
        </w:tc>
      </w:tr>
      <w:tr w:rsidR="00994ECA" w:rsidRPr="0019523A" w:rsidTr="008045E6">
        <w:tc>
          <w:tcPr>
            <w:tcW w:w="2628" w:type="dxa"/>
          </w:tcPr>
          <w:p w:rsidR="00994ECA" w:rsidRDefault="00994ECA" w:rsidP="008045E6">
            <w:pPr>
              <w:pStyle w:val="NoSpacing"/>
              <w:rPr>
                <w:rFonts w:ascii="Arial" w:hAnsi="Arial" w:cs="Arial"/>
              </w:rPr>
            </w:pPr>
            <w:r>
              <w:rPr>
                <w:rFonts w:ascii="Arial" w:hAnsi="Arial" w:cs="Arial"/>
              </w:rPr>
              <w:t>One Hutt Council</w:t>
            </w:r>
          </w:p>
          <w:p w:rsidR="00994ECA" w:rsidRPr="0019523A" w:rsidRDefault="00994ECA" w:rsidP="008045E6">
            <w:pPr>
              <w:pStyle w:val="NoSpacing"/>
              <w:rPr>
                <w:rFonts w:ascii="Arial" w:hAnsi="Arial" w:cs="Arial"/>
              </w:rPr>
            </w:pPr>
            <w:r>
              <w:rPr>
                <w:rFonts w:ascii="Arial" w:hAnsi="Arial" w:cs="Arial"/>
              </w:rPr>
              <w:t>(option 2.2)</w:t>
            </w:r>
          </w:p>
        </w:tc>
        <w:tc>
          <w:tcPr>
            <w:tcW w:w="720" w:type="dxa"/>
          </w:tcPr>
          <w:p w:rsidR="00994ECA" w:rsidRPr="0019523A" w:rsidRDefault="00994ECA" w:rsidP="008045E6">
            <w:pPr>
              <w:pStyle w:val="NoSpacing"/>
              <w:rPr>
                <w:rFonts w:ascii="Arial" w:hAnsi="Arial" w:cs="Arial"/>
              </w:rPr>
            </w:pPr>
            <w:r>
              <w:rPr>
                <w:rFonts w:ascii="Arial" w:hAnsi="Arial" w:cs="Arial"/>
              </w:rPr>
              <w:t>2%</w:t>
            </w:r>
          </w:p>
        </w:tc>
        <w:tc>
          <w:tcPr>
            <w:tcW w:w="720" w:type="dxa"/>
          </w:tcPr>
          <w:p w:rsidR="00994ECA" w:rsidRPr="0019523A" w:rsidRDefault="00994ECA" w:rsidP="008045E6">
            <w:pPr>
              <w:pStyle w:val="NoSpacing"/>
              <w:rPr>
                <w:rFonts w:ascii="Arial" w:hAnsi="Arial" w:cs="Arial"/>
              </w:rPr>
            </w:pPr>
            <w:r>
              <w:rPr>
                <w:rFonts w:ascii="Arial" w:hAnsi="Arial" w:cs="Arial"/>
              </w:rPr>
              <w:t>3%</w:t>
            </w:r>
          </w:p>
        </w:tc>
        <w:tc>
          <w:tcPr>
            <w:tcW w:w="720" w:type="dxa"/>
          </w:tcPr>
          <w:p w:rsidR="00994ECA" w:rsidRPr="0019523A" w:rsidRDefault="00994ECA" w:rsidP="008045E6">
            <w:pPr>
              <w:pStyle w:val="NoSpacing"/>
              <w:rPr>
                <w:rFonts w:ascii="Arial" w:hAnsi="Arial" w:cs="Arial"/>
              </w:rPr>
            </w:pPr>
            <w:r>
              <w:rPr>
                <w:rFonts w:ascii="Arial" w:hAnsi="Arial" w:cs="Arial"/>
              </w:rPr>
              <w:t>3%</w:t>
            </w:r>
          </w:p>
        </w:tc>
        <w:tc>
          <w:tcPr>
            <w:tcW w:w="1080" w:type="dxa"/>
          </w:tcPr>
          <w:p w:rsidR="00994ECA" w:rsidRPr="0019523A" w:rsidRDefault="00994ECA" w:rsidP="008045E6">
            <w:pPr>
              <w:pStyle w:val="NoSpacing"/>
              <w:rPr>
                <w:rFonts w:ascii="Arial" w:hAnsi="Arial" w:cs="Arial"/>
              </w:rPr>
            </w:pPr>
            <w:r>
              <w:rPr>
                <w:rFonts w:ascii="Arial" w:hAnsi="Arial" w:cs="Arial"/>
              </w:rPr>
              <w:t>3%</w:t>
            </w:r>
          </w:p>
        </w:tc>
        <w:tc>
          <w:tcPr>
            <w:tcW w:w="5148" w:type="dxa"/>
          </w:tcPr>
          <w:p w:rsidR="00994ECA" w:rsidRDefault="00994ECA" w:rsidP="008045E6">
            <w:pPr>
              <w:pStyle w:val="NoSpacing"/>
              <w:rPr>
                <w:rFonts w:ascii="Arial" w:hAnsi="Arial" w:cs="Arial"/>
              </w:rPr>
            </w:pPr>
            <w:r>
              <w:rPr>
                <w:rFonts w:ascii="Arial" w:hAnsi="Arial" w:cs="Arial"/>
              </w:rPr>
              <w:t>Rationalisation is expected to be quicker and deeper due to contiguous nature of two urban councils</w:t>
            </w:r>
          </w:p>
          <w:p w:rsidR="00994ECA" w:rsidRPr="0019523A" w:rsidRDefault="00994ECA" w:rsidP="008045E6">
            <w:pPr>
              <w:pStyle w:val="NoSpacing"/>
              <w:rPr>
                <w:rFonts w:ascii="Arial" w:hAnsi="Arial" w:cs="Arial"/>
              </w:rPr>
            </w:pPr>
          </w:p>
        </w:tc>
      </w:tr>
      <w:tr w:rsidR="00994ECA" w:rsidRPr="0019523A" w:rsidTr="008045E6">
        <w:tc>
          <w:tcPr>
            <w:tcW w:w="2628" w:type="dxa"/>
          </w:tcPr>
          <w:p w:rsidR="00994ECA" w:rsidRDefault="00994ECA" w:rsidP="008045E6">
            <w:pPr>
              <w:pStyle w:val="NoSpacing"/>
              <w:rPr>
                <w:rFonts w:ascii="Arial" w:hAnsi="Arial" w:cs="Arial"/>
              </w:rPr>
            </w:pPr>
            <w:r>
              <w:rPr>
                <w:rFonts w:ascii="Arial" w:hAnsi="Arial" w:cs="Arial"/>
              </w:rPr>
              <w:t>One Northern/Western Council</w:t>
            </w:r>
          </w:p>
          <w:p w:rsidR="00994ECA" w:rsidRPr="0019523A" w:rsidRDefault="00994ECA" w:rsidP="008045E6">
            <w:pPr>
              <w:pStyle w:val="NoSpacing"/>
              <w:rPr>
                <w:rFonts w:ascii="Arial" w:hAnsi="Arial" w:cs="Arial"/>
              </w:rPr>
            </w:pPr>
            <w:r>
              <w:rPr>
                <w:rFonts w:ascii="Arial" w:hAnsi="Arial" w:cs="Arial"/>
              </w:rPr>
              <w:t>(option 2.3)</w:t>
            </w:r>
          </w:p>
        </w:tc>
        <w:tc>
          <w:tcPr>
            <w:tcW w:w="720" w:type="dxa"/>
          </w:tcPr>
          <w:p w:rsidR="00994ECA" w:rsidRPr="0019523A" w:rsidRDefault="00994ECA" w:rsidP="008045E6">
            <w:pPr>
              <w:pStyle w:val="NoSpacing"/>
              <w:rPr>
                <w:rFonts w:ascii="Arial" w:hAnsi="Arial" w:cs="Arial"/>
              </w:rPr>
            </w:pPr>
            <w:r>
              <w:rPr>
                <w:rFonts w:ascii="Arial" w:hAnsi="Arial" w:cs="Arial"/>
              </w:rPr>
              <w:t>2%</w:t>
            </w:r>
          </w:p>
        </w:tc>
        <w:tc>
          <w:tcPr>
            <w:tcW w:w="720" w:type="dxa"/>
          </w:tcPr>
          <w:p w:rsidR="00994ECA" w:rsidRPr="0019523A" w:rsidRDefault="00994ECA" w:rsidP="008045E6">
            <w:pPr>
              <w:pStyle w:val="NoSpacing"/>
              <w:rPr>
                <w:rFonts w:ascii="Arial" w:hAnsi="Arial" w:cs="Arial"/>
              </w:rPr>
            </w:pPr>
            <w:r>
              <w:rPr>
                <w:rFonts w:ascii="Arial" w:hAnsi="Arial" w:cs="Arial"/>
              </w:rPr>
              <w:t>3%</w:t>
            </w:r>
          </w:p>
        </w:tc>
        <w:tc>
          <w:tcPr>
            <w:tcW w:w="720" w:type="dxa"/>
          </w:tcPr>
          <w:p w:rsidR="00994ECA" w:rsidRPr="0019523A" w:rsidRDefault="00994ECA" w:rsidP="008045E6">
            <w:pPr>
              <w:pStyle w:val="NoSpacing"/>
              <w:rPr>
                <w:rFonts w:ascii="Arial" w:hAnsi="Arial" w:cs="Arial"/>
              </w:rPr>
            </w:pPr>
            <w:r>
              <w:rPr>
                <w:rFonts w:ascii="Arial" w:hAnsi="Arial" w:cs="Arial"/>
              </w:rPr>
              <w:t>3%</w:t>
            </w:r>
          </w:p>
        </w:tc>
        <w:tc>
          <w:tcPr>
            <w:tcW w:w="1080" w:type="dxa"/>
          </w:tcPr>
          <w:p w:rsidR="00994ECA" w:rsidRPr="0019523A" w:rsidRDefault="00994ECA" w:rsidP="008045E6">
            <w:pPr>
              <w:pStyle w:val="NoSpacing"/>
              <w:rPr>
                <w:rFonts w:ascii="Arial" w:hAnsi="Arial" w:cs="Arial"/>
              </w:rPr>
            </w:pPr>
            <w:r>
              <w:rPr>
                <w:rFonts w:ascii="Arial" w:hAnsi="Arial" w:cs="Arial"/>
              </w:rPr>
              <w:t>3%</w:t>
            </w:r>
          </w:p>
        </w:tc>
        <w:tc>
          <w:tcPr>
            <w:tcW w:w="5148" w:type="dxa"/>
          </w:tcPr>
          <w:p w:rsidR="00994ECA" w:rsidRPr="0019523A" w:rsidRDefault="00994ECA" w:rsidP="008045E6">
            <w:pPr>
              <w:pStyle w:val="NoSpacing"/>
              <w:rPr>
                <w:rFonts w:ascii="Arial" w:hAnsi="Arial" w:cs="Arial"/>
              </w:rPr>
            </w:pPr>
            <w:r>
              <w:rPr>
                <w:rFonts w:ascii="Arial" w:hAnsi="Arial" w:cs="Arial"/>
              </w:rPr>
              <w:t>Significant rationalisation here is consistent with a reduction of corporate support FTEs of 41% from the existing level</w:t>
            </w:r>
          </w:p>
        </w:tc>
      </w:tr>
    </w:tbl>
    <w:p w:rsidR="00994ECA" w:rsidRPr="005D0D41" w:rsidRDefault="00994ECA" w:rsidP="00994ECA"/>
    <w:p w:rsidR="00994ECA" w:rsidRPr="00DB18D5" w:rsidRDefault="00994ECA" w:rsidP="00994ECA">
      <w:pPr>
        <w:pStyle w:val="ListParagraph"/>
        <w:numPr>
          <w:ilvl w:val="0"/>
          <w:numId w:val="14"/>
        </w:numPr>
        <w:jc w:val="left"/>
        <w:rPr>
          <w:i/>
        </w:rPr>
      </w:pPr>
      <w:r w:rsidRPr="00DB18D5">
        <w:rPr>
          <w:i/>
        </w:rPr>
        <w:t xml:space="preserve">Assumptions on </w:t>
      </w:r>
      <w:r>
        <w:rPr>
          <w:i/>
        </w:rPr>
        <w:t>governance cost savings</w:t>
      </w:r>
    </w:p>
    <w:p w:rsidR="002B7948" w:rsidRDefault="002B7948" w:rsidP="002B7948">
      <w:pPr>
        <w:pStyle w:val="NoSpacing"/>
        <w:rPr>
          <w:rFonts w:ascii="Arial" w:hAnsi="Arial" w:cs="Arial"/>
          <w:i/>
        </w:rPr>
      </w:pPr>
    </w:p>
    <w:p w:rsidR="002B7948" w:rsidRDefault="002B7948" w:rsidP="002B7948">
      <w:pPr>
        <w:pStyle w:val="NoSpacing"/>
        <w:rPr>
          <w:rFonts w:ascii="Arial" w:hAnsi="Arial" w:cs="Arial"/>
          <w:i/>
        </w:rPr>
      </w:pPr>
      <w:r>
        <w:rPr>
          <w:rFonts w:ascii="Arial" w:hAnsi="Arial" w:cs="Arial"/>
          <w:i/>
        </w:rPr>
        <w:t>Table 5</w:t>
      </w:r>
      <w:r w:rsidRPr="002B7948">
        <w:rPr>
          <w:rFonts w:ascii="Arial" w:hAnsi="Arial" w:cs="Arial"/>
          <w:i/>
        </w:rPr>
        <w:t xml:space="preserve">   Option</w:t>
      </w:r>
      <w:r>
        <w:rPr>
          <w:rFonts w:ascii="Arial" w:hAnsi="Arial" w:cs="Arial"/>
          <w:i/>
        </w:rPr>
        <w:t>s</w:t>
      </w:r>
      <w:r w:rsidRPr="002B7948">
        <w:rPr>
          <w:rFonts w:ascii="Arial" w:hAnsi="Arial" w:cs="Arial"/>
          <w:i/>
        </w:rPr>
        <w:t xml:space="preserve"> 2.1-2.3; </w:t>
      </w:r>
      <w:r>
        <w:rPr>
          <w:rFonts w:ascii="Arial" w:hAnsi="Arial" w:cs="Arial"/>
          <w:i/>
        </w:rPr>
        <w:t xml:space="preserve">Assumptions on Governance cost </w:t>
      </w:r>
      <w:r w:rsidRPr="002B7948">
        <w:rPr>
          <w:rFonts w:ascii="Arial" w:hAnsi="Arial" w:cs="Arial"/>
          <w:i/>
        </w:rPr>
        <w:t>savings</w:t>
      </w:r>
    </w:p>
    <w:p w:rsidR="00994ECA" w:rsidRDefault="00994ECA" w:rsidP="00994EC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8"/>
        <w:gridCol w:w="720"/>
        <w:gridCol w:w="720"/>
        <w:gridCol w:w="720"/>
        <w:gridCol w:w="1080"/>
        <w:gridCol w:w="5148"/>
      </w:tblGrid>
      <w:tr w:rsidR="00994ECA" w:rsidRPr="0019523A" w:rsidTr="00994ECA">
        <w:tc>
          <w:tcPr>
            <w:tcW w:w="2628" w:type="dxa"/>
            <w:shd w:val="clear" w:color="auto" w:fill="F2F2F2" w:themeFill="background1" w:themeFillShade="F2"/>
          </w:tcPr>
          <w:p w:rsidR="00994ECA" w:rsidRPr="0019523A" w:rsidRDefault="00994ECA" w:rsidP="008045E6">
            <w:pPr>
              <w:pStyle w:val="NoSpacing"/>
              <w:rPr>
                <w:rFonts w:ascii="Arial" w:hAnsi="Arial" w:cs="Arial"/>
                <w:i/>
              </w:rPr>
            </w:pPr>
          </w:p>
          <w:p w:rsidR="00994ECA" w:rsidRPr="0019523A" w:rsidRDefault="00994ECA" w:rsidP="008045E6">
            <w:pPr>
              <w:pStyle w:val="NoSpacing"/>
              <w:rPr>
                <w:rFonts w:ascii="Arial" w:hAnsi="Arial" w:cs="Arial"/>
                <w:i/>
              </w:rPr>
            </w:pPr>
            <w:r>
              <w:rPr>
                <w:rFonts w:ascii="Arial" w:hAnsi="Arial" w:cs="Arial"/>
                <w:i/>
              </w:rPr>
              <w:t>Options 2.1-2.3</w:t>
            </w:r>
          </w:p>
        </w:tc>
        <w:tc>
          <w:tcPr>
            <w:tcW w:w="2160" w:type="dxa"/>
            <w:gridSpan w:val="3"/>
            <w:shd w:val="clear" w:color="auto" w:fill="F2F2F2" w:themeFill="background1" w:themeFillShade="F2"/>
          </w:tcPr>
          <w:p w:rsidR="00994ECA" w:rsidRPr="0019523A" w:rsidRDefault="00994ECA" w:rsidP="008045E6">
            <w:pPr>
              <w:pStyle w:val="NoSpacing"/>
              <w:rPr>
                <w:rFonts w:ascii="Arial" w:hAnsi="Arial" w:cs="Arial"/>
                <w:i/>
              </w:rPr>
            </w:pPr>
            <w:r w:rsidRPr="0019523A">
              <w:rPr>
                <w:rFonts w:ascii="Arial" w:hAnsi="Arial" w:cs="Arial"/>
                <w:i/>
              </w:rPr>
              <w:t xml:space="preserve">    Transition Years</w:t>
            </w:r>
            <w:r>
              <w:rPr>
                <w:rFonts w:ascii="Arial" w:hAnsi="Arial" w:cs="Arial"/>
                <w:i/>
              </w:rPr>
              <w:t xml:space="preserve"> Savings $m</w:t>
            </w:r>
          </w:p>
          <w:p w:rsidR="00994ECA" w:rsidRDefault="00994ECA" w:rsidP="008045E6">
            <w:pPr>
              <w:pStyle w:val="NoSpacing"/>
              <w:rPr>
                <w:rFonts w:ascii="Arial" w:hAnsi="Arial" w:cs="Arial"/>
                <w:i/>
              </w:rPr>
            </w:pPr>
          </w:p>
          <w:p w:rsidR="00994ECA" w:rsidRDefault="00994ECA" w:rsidP="008045E6">
            <w:pPr>
              <w:pStyle w:val="NoSpacing"/>
              <w:rPr>
                <w:rFonts w:ascii="Arial" w:hAnsi="Arial" w:cs="Arial"/>
                <w:i/>
              </w:rPr>
            </w:pPr>
            <w:r w:rsidRPr="0019523A">
              <w:rPr>
                <w:rFonts w:ascii="Arial" w:hAnsi="Arial" w:cs="Arial"/>
                <w:i/>
              </w:rPr>
              <w:t>Yr 1      Yr 2     Yr3</w:t>
            </w:r>
          </w:p>
          <w:p w:rsidR="00994ECA" w:rsidRPr="0019523A" w:rsidRDefault="00994ECA" w:rsidP="008045E6">
            <w:pPr>
              <w:pStyle w:val="NoSpacing"/>
              <w:rPr>
                <w:rFonts w:ascii="Arial" w:hAnsi="Arial" w:cs="Arial"/>
                <w:i/>
              </w:rPr>
            </w:pPr>
          </w:p>
        </w:tc>
        <w:tc>
          <w:tcPr>
            <w:tcW w:w="1080" w:type="dxa"/>
            <w:shd w:val="clear" w:color="auto" w:fill="F2F2F2" w:themeFill="background1" w:themeFillShade="F2"/>
          </w:tcPr>
          <w:p w:rsidR="00994ECA" w:rsidRPr="0019523A" w:rsidRDefault="00994ECA" w:rsidP="008045E6">
            <w:pPr>
              <w:pStyle w:val="NoSpacing"/>
              <w:rPr>
                <w:rFonts w:ascii="Arial" w:hAnsi="Arial" w:cs="Arial"/>
                <w:i/>
              </w:rPr>
            </w:pPr>
            <w:r w:rsidRPr="0019523A">
              <w:rPr>
                <w:rFonts w:ascii="Arial" w:hAnsi="Arial" w:cs="Arial"/>
                <w:i/>
              </w:rPr>
              <w:t>Year 4 onwards</w:t>
            </w:r>
          </w:p>
          <w:p w:rsidR="00994ECA" w:rsidRDefault="00994ECA" w:rsidP="008045E6">
            <w:pPr>
              <w:pStyle w:val="NoSpacing"/>
              <w:rPr>
                <w:rFonts w:ascii="Arial" w:hAnsi="Arial" w:cs="Arial"/>
                <w:i/>
              </w:rPr>
            </w:pPr>
          </w:p>
          <w:p w:rsidR="00994ECA" w:rsidRPr="0019523A" w:rsidRDefault="00994ECA" w:rsidP="008045E6">
            <w:pPr>
              <w:pStyle w:val="NoSpacing"/>
              <w:rPr>
                <w:rFonts w:ascii="Arial" w:hAnsi="Arial" w:cs="Arial"/>
                <w:i/>
              </w:rPr>
            </w:pPr>
            <w:r>
              <w:rPr>
                <w:rFonts w:ascii="Arial" w:hAnsi="Arial" w:cs="Arial"/>
                <w:i/>
              </w:rPr>
              <w:t>Savings$m</w:t>
            </w:r>
          </w:p>
        </w:tc>
        <w:tc>
          <w:tcPr>
            <w:tcW w:w="5148" w:type="dxa"/>
            <w:shd w:val="clear" w:color="auto" w:fill="F2F2F2" w:themeFill="background1" w:themeFillShade="F2"/>
          </w:tcPr>
          <w:p w:rsidR="00994ECA" w:rsidRPr="0019523A" w:rsidRDefault="00994ECA" w:rsidP="008045E6">
            <w:pPr>
              <w:pStyle w:val="NoSpacing"/>
              <w:rPr>
                <w:rFonts w:ascii="Arial" w:hAnsi="Arial" w:cs="Arial"/>
                <w:i/>
              </w:rPr>
            </w:pPr>
          </w:p>
          <w:p w:rsidR="00994ECA" w:rsidRPr="0019523A" w:rsidRDefault="00994ECA" w:rsidP="008045E6">
            <w:pPr>
              <w:pStyle w:val="NoSpacing"/>
              <w:rPr>
                <w:rFonts w:ascii="Arial" w:hAnsi="Arial" w:cs="Arial"/>
                <w:i/>
              </w:rPr>
            </w:pPr>
            <w:r w:rsidRPr="0019523A">
              <w:rPr>
                <w:rFonts w:ascii="Arial" w:hAnsi="Arial" w:cs="Arial"/>
                <w:i/>
              </w:rPr>
              <w:t>Comments/rationale</w:t>
            </w:r>
          </w:p>
        </w:tc>
      </w:tr>
      <w:tr w:rsidR="00994ECA" w:rsidRPr="0019523A" w:rsidTr="008045E6">
        <w:tc>
          <w:tcPr>
            <w:tcW w:w="2628" w:type="dxa"/>
          </w:tcPr>
          <w:p w:rsidR="00994ECA" w:rsidRDefault="00994ECA" w:rsidP="008045E6">
            <w:pPr>
              <w:pStyle w:val="NoSpacing"/>
              <w:rPr>
                <w:rFonts w:ascii="Arial" w:hAnsi="Arial" w:cs="Arial"/>
              </w:rPr>
            </w:pPr>
            <w:r>
              <w:rPr>
                <w:rFonts w:ascii="Arial" w:hAnsi="Arial" w:cs="Arial"/>
              </w:rPr>
              <w:t>One Wairarapa Council</w:t>
            </w:r>
          </w:p>
          <w:p w:rsidR="00994ECA" w:rsidRPr="0019523A" w:rsidRDefault="00994ECA" w:rsidP="008045E6">
            <w:pPr>
              <w:pStyle w:val="NoSpacing"/>
              <w:rPr>
                <w:rFonts w:ascii="Arial" w:hAnsi="Arial" w:cs="Arial"/>
              </w:rPr>
            </w:pPr>
            <w:r>
              <w:rPr>
                <w:rFonts w:ascii="Arial" w:hAnsi="Arial" w:cs="Arial"/>
              </w:rPr>
              <w:t>(option 2.1)</w:t>
            </w:r>
          </w:p>
        </w:tc>
        <w:tc>
          <w:tcPr>
            <w:tcW w:w="720" w:type="dxa"/>
          </w:tcPr>
          <w:p w:rsidR="00994ECA" w:rsidRPr="0019523A" w:rsidRDefault="00994ECA" w:rsidP="008045E6">
            <w:pPr>
              <w:pStyle w:val="NoSpacing"/>
              <w:rPr>
                <w:rFonts w:ascii="Arial" w:hAnsi="Arial" w:cs="Arial"/>
              </w:rPr>
            </w:pPr>
            <w:r>
              <w:rPr>
                <w:rFonts w:ascii="Arial" w:hAnsi="Arial" w:cs="Arial"/>
              </w:rPr>
              <w:t>0.31</w:t>
            </w:r>
          </w:p>
        </w:tc>
        <w:tc>
          <w:tcPr>
            <w:tcW w:w="720" w:type="dxa"/>
          </w:tcPr>
          <w:p w:rsidR="00994ECA" w:rsidRPr="0019523A" w:rsidRDefault="00994ECA" w:rsidP="008045E6">
            <w:pPr>
              <w:pStyle w:val="NoSpacing"/>
              <w:rPr>
                <w:rFonts w:ascii="Arial" w:hAnsi="Arial" w:cs="Arial"/>
              </w:rPr>
            </w:pPr>
            <w:r>
              <w:rPr>
                <w:rFonts w:ascii="Arial" w:hAnsi="Arial" w:cs="Arial"/>
              </w:rPr>
              <w:t>0.31</w:t>
            </w:r>
          </w:p>
        </w:tc>
        <w:tc>
          <w:tcPr>
            <w:tcW w:w="720" w:type="dxa"/>
          </w:tcPr>
          <w:p w:rsidR="00994ECA" w:rsidRPr="0019523A" w:rsidRDefault="00994ECA" w:rsidP="008045E6">
            <w:pPr>
              <w:pStyle w:val="NoSpacing"/>
              <w:rPr>
                <w:rFonts w:ascii="Arial" w:hAnsi="Arial" w:cs="Arial"/>
              </w:rPr>
            </w:pPr>
            <w:r>
              <w:rPr>
                <w:rFonts w:ascii="Arial" w:hAnsi="Arial" w:cs="Arial"/>
              </w:rPr>
              <w:t>0.31</w:t>
            </w:r>
          </w:p>
        </w:tc>
        <w:tc>
          <w:tcPr>
            <w:tcW w:w="1080" w:type="dxa"/>
          </w:tcPr>
          <w:p w:rsidR="00994ECA" w:rsidRPr="0019523A" w:rsidRDefault="00994ECA" w:rsidP="008045E6">
            <w:pPr>
              <w:pStyle w:val="NoSpacing"/>
              <w:rPr>
                <w:rFonts w:ascii="Arial" w:hAnsi="Arial" w:cs="Arial"/>
              </w:rPr>
            </w:pPr>
            <w:r>
              <w:rPr>
                <w:rFonts w:ascii="Arial" w:hAnsi="Arial" w:cs="Arial"/>
              </w:rPr>
              <w:t>0.31</w:t>
            </w:r>
          </w:p>
        </w:tc>
        <w:tc>
          <w:tcPr>
            <w:tcW w:w="5148" w:type="dxa"/>
          </w:tcPr>
          <w:p w:rsidR="00994ECA" w:rsidRDefault="005946E7" w:rsidP="008045E6">
            <w:pPr>
              <w:pStyle w:val="NoSpacing"/>
              <w:rPr>
                <w:rFonts w:ascii="Arial" w:hAnsi="Arial" w:cs="Arial"/>
              </w:rPr>
            </w:pPr>
            <w:r>
              <w:rPr>
                <w:rFonts w:ascii="Arial" w:hAnsi="Arial" w:cs="Arial"/>
              </w:rPr>
              <w:t>Assumed that the new Council</w:t>
            </w:r>
            <w:r w:rsidR="00994ECA">
              <w:rPr>
                <w:rFonts w:ascii="Arial" w:hAnsi="Arial" w:cs="Arial"/>
              </w:rPr>
              <w:t xml:space="preserve"> will have;</w:t>
            </w:r>
          </w:p>
          <w:p w:rsidR="00994ECA" w:rsidRDefault="00994ECA" w:rsidP="008045E6">
            <w:pPr>
              <w:pStyle w:val="NoSpacing"/>
              <w:numPr>
                <w:ilvl w:val="0"/>
                <w:numId w:val="17"/>
              </w:numPr>
              <w:rPr>
                <w:rFonts w:ascii="Arial" w:hAnsi="Arial" w:cs="Arial"/>
              </w:rPr>
            </w:pPr>
            <w:r>
              <w:rPr>
                <w:rFonts w:ascii="Arial" w:hAnsi="Arial" w:cs="Arial"/>
              </w:rPr>
              <w:t>A Mayor (remuneration $100k a year)</w:t>
            </w:r>
          </w:p>
          <w:p w:rsidR="00994ECA" w:rsidRDefault="00994ECA" w:rsidP="008045E6">
            <w:pPr>
              <w:pStyle w:val="NoSpacing"/>
              <w:numPr>
                <w:ilvl w:val="0"/>
                <w:numId w:val="17"/>
              </w:numPr>
              <w:rPr>
                <w:rFonts w:ascii="Arial" w:hAnsi="Arial" w:cs="Arial"/>
              </w:rPr>
            </w:pPr>
            <w:r>
              <w:rPr>
                <w:rFonts w:ascii="Arial" w:hAnsi="Arial" w:cs="Arial"/>
              </w:rPr>
              <w:t>14 Councillors (yearly remuneration average $50 k each)</w:t>
            </w:r>
          </w:p>
          <w:p w:rsidR="00994ECA" w:rsidRDefault="00994ECA" w:rsidP="008045E6">
            <w:pPr>
              <w:pStyle w:val="NoSpacing"/>
              <w:numPr>
                <w:ilvl w:val="0"/>
                <w:numId w:val="17"/>
              </w:numPr>
              <w:rPr>
                <w:rFonts w:ascii="Arial" w:hAnsi="Arial" w:cs="Arial"/>
              </w:rPr>
            </w:pPr>
            <w:r>
              <w:rPr>
                <w:rFonts w:ascii="Arial" w:hAnsi="Arial" w:cs="Arial"/>
              </w:rPr>
              <w:t>CEO (yearly remuneration package $350k).</w:t>
            </w:r>
          </w:p>
          <w:p w:rsidR="00994ECA" w:rsidRDefault="00994ECA" w:rsidP="008045E6">
            <w:pPr>
              <w:pStyle w:val="NoSpacing"/>
              <w:rPr>
                <w:rFonts w:ascii="Arial" w:hAnsi="Arial" w:cs="Arial"/>
              </w:rPr>
            </w:pPr>
            <w:r>
              <w:rPr>
                <w:rFonts w:ascii="Arial" w:hAnsi="Arial" w:cs="Arial"/>
              </w:rPr>
              <w:t>No local/community boards are assumed.</w:t>
            </w:r>
          </w:p>
          <w:p w:rsidR="00994ECA" w:rsidRPr="0019523A" w:rsidRDefault="00994ECA" w:rsidP="008045E6">
            <w:pPr>
              <w:pStyle w:val="NoSpacing"/>
              <w:rPr>
                <w:rFonts w:ascii="Arial" w:hAnsi="Arial" w:cs="Arial"/>
              </w:rPr>
            </w:pPr>
          </w:p>
        </w:tc>
      </w:tr>
      <w:tr w:rsidR="00994ECA" w:rsidRPr="0019523A" w:rsidTr="008045E6">
        <w:tc>
          <w:tcPr>
            <w:tcW w:w="2628" w:type="dxa"/>
          </w:tcPr>
          <w:p w:rsidR="00994ECA" w:rsidRDefault="00994ECA" w:rsidP="008045E6">
            <w:pPr>
              <w:pStyle w:val="NoSpacing"/>
              <w:rPr>
                <w:rFonts w:ascii="Arial" w:hAnsi="Arial" w:cs="Arial"/>
              </w:rPr>
            </w:pPr>
            <w:r>
              <w:rPr>
                <w:rFonts w:ascii="Arial" w:hAnsi="Arial" w:cs="Arial"/>
              </w:rPr>
              <w:t>One Hutt Council</w:t>
            </w:r>
          </w:p>
          <w:p w:rsidR="00994ECA" w:rsidRPr="0019523A" w:rsidRDefault="00994ECA" w:rsidP="008045E6">
            <w:pPr>
              <w:pStyle w:val="NoSpacing"/>
              <w:rPr>
                <w:rFonts w:ascii="Arial" w:hAnsi="Arial" w:cs="Arial"/>
              </w:rPr>
            </w:pPr>
            <w:r>
              <w:rPr>
                <w:rFonts w:ascii="Arial" w:hAnsi="Arial" w:cs="Arial"/>
              </w:rPr>
              <w:t>(option 2.2)</w:t>
            </w:r>
          </w:p>
        </w:tc>
        <w:tc>
          <w:tcPr>
            <w:tcW w:w="720" w:type="dxa"/>
          </w:tcPr>
          <w:p w:rsidR="00994ECA" w:rsidRPr="0019523A" w:rsidRDefault="00994ECA" w:rsidP="008045E6">
            <w:pPr>
              <w:pStyle w:val="NoSpacing"/>
              <w:rPr>
                <w:rFonts w:ascii="Arial" w:hAnsi="Arial" w:cs="Arial"/>
              </w:rPr>
            </w:pPr>
            <w:r>
              <w:rPr>
                <w:rFonts w:ascii="Arial" w:hAnsi="Arial" w:cs="Arial"/>
              </w:rPr>
              <w:t>0.31</w:t>
            </w:r>
          </w:p>
        </w:tc>
        <w:tc>
          <w:tcPr>
            <w:tcW w:w="720" w:type="dxa"/>
          </w:tcPr>
          <w:p w:rsidR="00994ECA" w:rsidRPr="0019523A" w:rsidRDefault="00994ECA" w:rsidP="008045E6">
            <w:pPr>
              <w:pStyle w:val="NoSpacing"/>
              <w:rPr>
                <w:rFonts w:ascii="Arial" w:hAnsi="Arial" w:cs="Arial"/>
              </w:rPr>
            </w:pPr>
            <w:r>
              <w:rPr>
                <w:rFonts w:ascii="Arial" w:hAnsi="Arial" w:cs="Arial"/>
              </w:rPr>
              <w:t>0.31</w:t>
            </w:r>
          </w:p>
        </w:tc>
        <w:tc>
          <w:tcPr>
            <w:tcW w:w="720" w:type="dxa"/>
          </w:tcPr>
          <w:p w:rsidR="00994ECA" w:rsidRPr="0019523A" w:rsidRDefault="00994ECA" w:rsidP="008045E6">
            <w:pPr>
              <w:pStyle w:val="NoSpacing"/>
              <w:rPr>
                <w:rFonts w:ascii="Arial" w:hAnsi="Arial" w:cs="Arial"/>
              </w:rPr>
            </w:pPr>
            <w:r>
              <w:rPr>
                <w:rFonts w:ascii="Arial" w:hAnsi="Arial" w:cs="Arial"/>
              </w:rPr>
              <w:t>0.31</w:t>
            </w:r>
          </w:p>
        </w:tc>
        <w:tc>
          <w:tcPr>
            <w:tcW w:w="1080" w:type="dxa"/>
          </w:tcPr>
          <w:p w:rsidR="00994ECA" w:rsidRPr="0019523A" w:rsidRDefault="00994ECA" w:rsidP="008045E6">
            <w:pPr>
              <w:pStyle w:val="NoSpacing"/>
              <w:rPr>
                <w:rFonts w:ascii="Arial" w:hAnsi="Arial" w:cs="Arial"/>
              </w:rPr>
            </w:pPr>
            <w:r>
              <w:rPr>
                <w:rFonts w:ascii="Arial" w:hAnsi="Arial" w:cs="Arial"/>
              </w:rPr>
              <w:t>0.31</w:t>
            </w:r>
          </w:p>
        </w:tc>
        <w:tc>
          <w:tcPr>
            <w:tcW w:w="5148" w:type="dxa"/>
          </w:tcPr>
          <w:p w:rsidR="00994ECA" w:rsidRDefault="005946E7" w:rsidP="008045E6">
            <w:pPr>
              <w:pStyle w:val="NoSpacing"/>
              <w:rPr>
                <w:rFonts w:ascii="Arial" w:hAnsi="Arial" w:cs="Arial"/>
              </w:rPr>
            </w:pPr>
            <w:r>
              <w:rPr>
                <w:rFonts w:ascii="Arial" w:hAnsi="Arial" w:cs="Arial"/>
              </w:rPr>
              <w:t>Assumed that the new Council</w:t>
            </w:r>
            <w:r w:rsidR="00994ECA">
              <w:rPr>
                <w:rFonts w:ascii="Arial" w:hAnsi="Arial" w:cs="Arial"/>
              </w:rPr>
              <w:t xml:space="preserve"> will have;</w:t>
            </w:r>
          </w:p>
          <w:p w:rsidR="00994ECA" w:rsidRDefault="00994ECA" w:rsidP="008045E6">
            <w:pPr>
              <w:pStyle w:val="NoSpacing"/>
              <w:numPr>
                <w:ilvl w:val="0"/>
                <w:numId w:val="18"/>
              </w:numPr>
              <w:rPr>
                <w:rFonts w:ascii="Arial" w:hAnsi="Arial" w:cs="Arial"/>
              </w:rPr>
            </w:pPr>
            <w:r>
              <w:rPr>
                <w:rFonts w:ascii="Arial" w:hAnsi="Arial" w:cs="Arial"/>
              </w:rPr>
              <w:t>A Mayor (remuneration $140k a year)</w:t>
            </w:r>
          </w:p>
          <w:p w:rsidR="00994ECA" w:rsidRDefault="00994ECA" w:rsidP="008045E6">
            <w:pPr>
              <w:pStyle w:val="NoSpacing"/>
              <w:numPr>
                <w:ilvl w:val="0"/>
                <w:numId w:val="18"/>
              </w:numPr>
              <w:rPr>
                <w:rFonts w:ascii="Arial" w:hAnsi="Arial" w:cs="Arial"/>
              </w:rPr>
            </w:pPr>
            <w:r>
              <w:rPr>
                <w:rFonts w:ascii="Arial" w:hAnsi="Arial" w:cs="Arial"/>
              </w:rPr>
              <w:t>14 Councillors (yearly remuneration average $60 k each)</w:t>
            </w:r>
          </w:p>
          <w:p w:rsidR="00994ECA" w:rsidRDefault="00994ECA" w:rsidP="008045E6">
            <w:pPr>
              <w:pStyle w:val="NoSpacing"/>
              <w:numPr>
                <w:ilvl w:val="0"/>
                <w:numId w:val="18"/>
              </w:numPr>
              <w:rPr>
                <w:rFonts w:ascii="Arial" w:hAnsi="Arial" w:cs="Arial"/>
              </w:rPr>
            </w:pPr>
            <w:r>
              <w:rPr>
                <w:rFonts w:ascii="Arial" w:hAnsi="Arial" w:cs="Arial"/>
              </w:rPr>
              <w:t xml:space="preserve"> CEO (yearly remuneration package $400k). </w:t>
            </w:r>
          </w:p>
          <w:p w:rsidR="00994ECA" w:rsidRDefault="00994ECA" w:rsidP="008045E6">
            <w:pPr>
              <w:pStyle w:val="NoSpacing"/>
              <w:rPr>
                <w:rFonts w:ascii="Arial" w:hAnsi="Arial" w:cs="Arial"/>
              </w:rPr>
            </w:pPr>
            <w:r>
              <w:rPr>
                <w:rFonts w:ascii="Arial" w:hAnsi="Arial" w:cs="Arial"/>
              </w:rPr>
              <w:t>No local/community boards are assumed.</w:t>
            </w:r>
          </w:p>
          <w:p w:rsidR="00994ECA" w:rsidRPr="0019523A" w:rsidRDefault="00994ECA" w:rsidP="008045E6">
            <w:pPr>
              <w:pStyle w:val="NoSpacing"/>
              <w:rPr>
                <w:rFonts w:ascii="Arial" w:hAnsi="Arial" w:cs="Arial"/>
              </w:rPr>
            </w:pPr>
          </w:p>
        </w:tc>
      </w:tr>
      <w:tr w:rsidR="00994ECA" w:rsidRPr="0019523A" w:rsidTr="008045E6">
        <w:trPr>
          <w:trHeight w:val="1685"/>
        </w:trPr>
        <w:tc>
          <w:tcPr>
            <w:tcW w:w="2628" w:type="dxa"/>
          </w:tcPr>
          <w:p w:rsidR="00994ECA" w:rsidRDefault="00994ECA" w:rsidP="008045E6">
            <w:pPr>
              <w:pStyle w:val="NoSpacing"/>
              <w:rPr>
                <w:rFonts w:ascii="Arial" w:hAnsi="Arial" w:cs="Arial"/>
              </w:rPr>
            </w:pPr>
            <w:r>
              <w:rPr>
                <w:rFonts w:ascii="Arial" w:hAnsi="Arial" w:cs="Arial"/>
              </w:rPr>
              <w:t>One Northern/Western Council (no local boards)</w:t>
            </w:r>
          </w:p>
          <w:p w:rsidR="00994ECA" w:rsidRPr="0019523A" w:rsidRDefault="005946E7" w:rsidP="008045E6">
            <w:pPr>
              <w:pStyle w:val="NoSpacing"/>
              <w:rPr>
                <w:rFonts w:ascii="Arial" w:hAnsi="Arial" w:cs="Arial"/>
              </w:rPr>
            </w:pPr>
            <w:r>
              <w:rPr>
                <w:rFonts w:ascii="Arial" w:hAnsi="Arial" w:cs="Arial"/>
              </w:rPr>
              <w:t>(</w:t>
            </w:r>
            <w:r w:rsidR="00994ECA">
              <w:rPr>
                <w:rFonts w:ascii="Arial" w:hAnsi="Arial" w:cs="Arial"/>
              </w:rPr>
              <w:t>option</w:t>
            </w:r>
            <w:r>
              <w:rPr>
                <w:rFonts w:ascii="Arial" w:hAnsi="Arial" w:cs="Arial"/>
              </w:rPr>
              <w:t xml:space="preserve"> 2.3)</w:t>
            </w:r>
          </w:p>
        </w:tc>
        <w:tc>
          <w:tcPr>
            <w:tcW w:w="720" w:type="dxa"/>
          </w:tcPr>
          <w:p w:rsidR="00994ECA" w:rsidRPr="0019523A" w:rsidRDefault="00994ECA" w:rsidP="008045E6">
            <w:pPr>
              <w:pStyle w:val="NoSpacing"/>
              <w:rPr>
                <w:rFonts w:ascii="Arial" w:hAnsi="Arial" w:cs="Arial"/>
              </w:rPr>
            </w:pPr>
            <w:r>
              <w:rPr>
                <w:rFonts w:ascii="Arial" w:hAnsi="Arial" w:cs="Arial"/>
              </w:rPr>
              <w:t>0.88</w:t>
            </w:r>
          </w:p>
        </w:tc>
        <w:tc>
          <w:tcPr>
            <w:tcW w:w="720" w:type="dxa"/>
          </w:tcPr>
          <w:p w:rsidR="00994ECA" w:rsidRPr="0019523A" w:rsidRDefault="00994ECA" w:rsidP="008045E6">
            <w:pPr>
              <w:pStyle w:val="NoSpacing"/>
              <w:rPr>
                <w:rFonts w:ascii="Arial" w:hAnsi="Arial" w:cs="Arial"/>
              </w:rPr>
            </w:pPr>
            <w:r>
              <w:rPr>
                <w:rFonts w:ascii="Arial" w:hAnsi="Arial" w:cs="Arial"/>
              </w:rPr>
              <w:t>0.88</w:t>
            </w:r>
          </w:p>
        </w:tc>
        <w:tc>
          <w:tcPr>
            <w:tcW w:w="720" w:type="dxa"/>
          </w:tcPr>
          <w:p w:rsidR="00994ECA" w:rsidRPr="0019523A" w:rsidRDefault="00994ECA" w:rsidP="008045E6">
            <w:pPr>
              <w:pStyle w:val="NoSpacing"/>
              <w:rPr>
                <w:rFonts w:ascii="Arial" w:hAnsi="Arial" w:cs="Arial"/>
              </w:rPr>
            </w:pPr>
            <w:r>
              <w:rPr>
                <w:rFonts w:ascii="Arial" w:hAnsi="Arial" w:cs="Arial"/>
              </w:rPr>
              <w:t>0.88</w:t>
            </w:r>
          </w:p>
        </w:tc>
        <w:tc>
          <w:tcPr>
            <w:tcW w:w="1080" w:type="dxa"/>
          </w:tcPr>
          <w:p w:rsidR="00994ECA" w:rsidRPr="0019523A" w:rsidRDefault="00994ECA" w:rsidP="008045E6">
            <w:pPr>
              <w:pStyle w:val="NoSpacing"/>
              <w:rPr>
                <w:rFonts w:ascii="Arial" w:hAnsi="Arial" w:cs="Arial"/>
              </w:rPr>
            </w:pPr>
            <w:r>
              <w:rPr>
                <w:rFonts w:ascii="Arial" w:hAnsi="Arial" w:cs="Arial"/>
              </w:rPr>
              <w:t>0.88</w:t>
            </w:r>
          </w:p>
        </w:tc>
        <w:tc>
          <w:tcPr>
            <w:tcW w:w="5148" w:type="dxa"/>
          </w:tcPr>
          <w:p w:rsidR="00994ECA" w:rsidRDefault="005946E7" w:rsidP="008045E6">
            <w:pPr>
              <w:pStyle w:val="NoSpacing"/>
              <w:rPr>
                <w:rFonts w:ascii="Arial" w:hAnsi="Arial" w:cs="Arial"/>
              </w:rPr>
            </w:pPr>
            <w:r>
              <w:rPr>
                <w:rFonts w:ascii="Arial" w:hAnsi="Arial" w:cs="Arial"/>
              </w:rPr>
              <w:t>Assumed that the new Council</w:t>
            </w:r>
            <w:r w:rsidR="00994ECA">
              <w:rPr>
                <w:rFonts w:ascii="Arial" w:hAnsi="Arial" w:cs="Arial"/>
              </w:rPr>
              <w:t xml:space="preserve"> will have;</w:t>
            </w:r>
          </w:p>
          <w:p w:rsidR="00994ECA" w:rsidRDefault="00994ECA" w:rsidP="008045E6">
            <w:pPr>
              <w:pStyle w:val="NoSpacing"/>
              <w:numPr>
                <w:ilvl w:val="0"/>
                <w:numId w:val="19"/>
              </w:numPr>
              <w:rPr>
                <w:rFonts w:ascii="Arial" w:hAnsi="Arial" w:cs="Arial"/>
              </w:rPr>
            </w:pPr>
            <w:r>
              <w:rPr>
                <w:rFonts w:ascii="Arial" w:hAnsi="Arial" w:cs="Arial"/>
              </w:rPr>
              <w:t>A Mayor (remuneration $180k a year)</w:t>
            </w:r>
          </w:p>
          <w:p w:rsidR="00994ECA" w:rsidRDefault="00994ECA" w:rsidP="008045E6">
            <w:pPr>
              <w:pStyle w:val="NoSpacing"/>
              <w:numPr>
                <w:ilvl w:val="0"/>
                <w:numId w:val="19"/>
              </w:numPr>
              <w:rPr>
                <w:rFonts w:ascii="Arial" w:hAnsi="Arial" w:cs="Arial"/>
              </w:rPr>
            </w:pPr>
            <w:r>
              <w:rPr>
                <w:rFonts w:ascii="Arial" w:hAnsi="Arial" w:cs="Arial"/>
              </w:rPr>
              <w:t>21 Councillors (yearly remuneration average $95k each)</w:t>
            </w:r>
          </w:p>
          <w:p w:rsidR="00994ECA" w:rsidRPr="00187421" w:rsidRDefault="00994ECA" w:rsidP="008045E6">
            <w:pPr>
              <w:pStyle w:val="NoSpacing"/>
              <w:numPr>
                <w:ilvl w:val="0"/>
                <w:numId w:val="19"/>
              </w:numPr>
              <w:rPr>
                <w:rFonts w:ascii="Arial" w:hAnsi="Arial" w:cs="Arial"/>
              </w:rPr>
            </w:pPr>
            <w:r>
              <w:rPr>
                <w:rFonts w:ascii="Arial" w:hAnsi="Arial" w:cs="Arial"/>
              </w:rPr>
              <w:t>CEO (yearly remuneration package $450k).</w:t>
            </w:r>
          </w:p>
          <w:p w:rsidR="00994ECA" w:rsidRPr="0019523A" w:rsidRDefault="00994ECA" w:rsidP="008045E6">
            <w:pPr>
              <w:pStyle w:val="NoSpacing"/>
              <w:rPr>
                <w:rFonts w:ascii="Arial" w:hAnsi="Arial" w:cs="Arial"/>
              </w:rPr>
            </w:pPr>
          </w:p>
        </w:tc>
      </w:tr>
    </w:tbl>
    <w:p w:rsidR="00994ECA" w:rsidRDefault="00994ECA" w:rsidP="00994ECA"/>
    <w:p w:rsidR="00994ECA" w:rsidRDefault="00994ECA" w:rsidP="00994ECA">
      <w:pPr>
        <w:pStyle w:val="NoSpacing"/>
        <w:rPr>
          <w:rFonts w:ascii="Arial" w:hAnsi="Arial" w:cs="Arial"/>
        </w:rPr>
      </w:pPr>
      <w:r>
        <w:rPr>
          <w:rFonts w:ascii="Arial" w:hAnsi="Arial" w:cs="Arial"/>
        </w:rPr>
        <w:lastRenderedPageBreak/>
        <w:t xml:space="preserve">A variation on the Northern/Western Council </w:t>
      </w:r>
      <w:r w:rsidR="005946E7">
        <w:rPr>
          <w:rFonts w:ascii="Arial" w:hAnsi="Arial" w:cs="Arial"/>
        </w:rPr>
        <w:t xml:space="preserve">(option 2.3) </w:t>
      </w:r>
      <w:r>
        <w:rPr>
          <w:rFonts w:ascii="Arial" w:hAnsi="Arial" w:cs="Arial"/>
        </w:rPr>
        <w:t xml:space="preserve">is to have five local/community boards. The additional cost of this is $6.25m a year proportionately based on the LGC paper for eight Boards ($10 -$12m). The first year is an eight month period and the costs have been shown proportionately for year 1. </w:t>
      </w:r>
    </w:p>
    <w:p w:rsidR="005946E7" w:rsidRDefault="005946E7" w:rsidP="00363282">
      <w:pPr>
        <w:pStyle w:val="NoSpacing"/>
        <w:rPr>
          <w:rFonts w:ascii="Arial" w:hAnsi="Arial" w:cs="Arial"/>
        </w:rPr>
      </w:pPr>
    </w:p>
    <w:p w:rsidR="005946E7" w:rsidRDefault="005946E7" w:rsidP="005946E7">
      <w:pPr>
        <w:rPr>
          <w:b/>
          <w:i/>
        </w:rPr>
      </w:pPr>
    </w:p>
    <w:p w:rsidR="005946E7" w:rsidRDefault="005946E7" w:rsidP="005946E7">
      <w:pPr>
        <w:pStyle w:val="NoSpacing"/>
        <w:rPr>
          <w:rFonts w:ascii="Arial" w:hAnsi="Arial" w:cs="Arial"/>
          <w:b/>
        </w:rPr>
      </w:pPr>
      <w:r w:rsidRPr="005946E7">
        <w:rPr>
          <w:rFonts w:ascii="Arial" w:hAnsi="Arial" w:cs="Arial"/>
          <w:b/>
        </w:rPr>
        <w:t xml:space="preserve">Summary tables of potential </w:t>
      </w:r>
      <w:r>
        <w:rPr>
          <w:rFonts w:ascii="Arial" w:hAnsi="Arial" w:cs="Arial"/>
          <w:b/>
        </w:rPr>
        <w:t xml:space="preserve">yearly </w:t>
      </w:r>
      <w:r w:rsidRPr="005946E7">
        <w:rPr>
          <w:rFonts w:ascii="Arial" w:hAnsi="Arial" w:cs="Arial"/>
          <w:b/>
        </w:rPr>
        <w:t>cost savings un</w:t>
      </w:r>
      <w:r>
        <w:rPr>
          <w:rFonts w:ascii="Arial" w:hAnsi="Arial" w:cs="Arial"/>
          <w:b/>
        </w:rPr>
        <w:t>der</w:t>
      </w:r>
      <w:r w:rsidRPr="005946E7">
        <w:rPr>
          <w:rFonts w:ascii="Arial" w:hAnsi="Arial" w:cs="Arial"/>
          <w:b/>
        </w:rPr>
        <w:t xml:space="preserve"> Option 2 – Enhanced Local Efficiency</w:t>
      </w:r>
    </w:p>
    <w:p w:rsidR="005946E7" w:rsidRDefault="005946E7" w:rsidP="005946E7">
      <w:pPr>
        <w:pStyle w:val="NoSpacing"/>
        <w:rPr>
          <w:rFonts w:ascii="Arial" w:hAnsi="Arial" w:cs="Arial"/>
          <w:b/>
        </w:rPr>
      </w:pPr>
    </w:p>
    <w:p w:rsidR="0065222E" w:rsidRDefault="0065222E" w:rsidP="005946E7">
      <w:pPr>
        <w:pStyle w:val="NoSpacing"/>
        <w:rPr>
          <w:rFonts w:ascii="Arial" w:hAnsi="Arial" w:cs="Arial"/>
          <w:b/>
        </w:rPr>
      </w:pPr>
    </w:p>
    <w:p w:rsidR="005946E7" w:rsidRDefault="005946E7" w:rsidP="005946E7">
      <w:pPr>
        <w:pStyle w:val="NoSpacing"/>
        <w:rPr>
          <w:rFonts w:ascii="Arial" w:hAnsi="Arial" w:cs="Arial"/>
          <w:i/>
        </w:rPr>
      </w:pPr>
      <w:r>
        <w:rPr>
          <w:rFonts w:ascii="Arial" w:hAnsi="Arial" w:cs="Arial"/>
          <w:b/>
          <w:i/>
        </w:rPr>
        <w:t xml:space="preserve">Option 2.1 </w:t>
      </w:r>
      <w:r w:rsidR="00095742">
        <w:rPr>
          <w:rFonts w:ascii="Arial" w:hAnsi="Arial" w:cs="Arial"/>
          <w:i/>
        </w:rPr>
        <w:t xml:space="preserve">   </w:t>
      </w:r>
      <w:r w:rsidRPr="00E035B1">
        <w:rPr>
          <w:rFonts w:ascii="Arial" w:hAnsi="Arial" w:cs="Arial"/>
          <w:i/>
        </w:rPr>
        <w:t>One Waira</w:t>
      </w:r>
      <w:r>
        <w:rPr>
          <w:rFonts w:ascii="Arial" w:hAnsi="Arial" w:cs="Arial"/>
          <w:i/>
        </w:rPr>
        <w:t xml:space="preserve">rapa Territorial Authority </w:t>
      </w:r>
      <w:r w:rsidRPr="00E035B1">
        <w:rPr>
          <w:rFonts w:ascii="Arial" w:hAnsi="Arial" w:cs="Arial"/>
          <w:i/>
        </w:rPr>
        <w:t>(Masterton, Carterton and</w:t>
      </w:r>
      <w:r>
        <w:rPr>
          <w:rFonts w:ascii="Arial" w:hAnsi="Arial" w:cs="Arial"/>
          <w:i/>
        </w:rPr>
        <w:t xml:space="preserve"> South Wairarapa Councils into one</w:t>
      </w:r>
      <w:r w:rsidRPr="00E035B1">
        <w:rPr>
          <w:rFonts w:ascii="Arial" w:hAnsi="Arial" w:cs="Arial"/>
          <w:i/>
        </w:rPr>
        <w:t xml:space="preserve"> Council)</w:t>
      </w:r>
    </w:p>
    <w:p w:rsidR="002B7948" w:rsidRDefault="002B7948" w:rsidP="005946E7">
      <w:pPr>
        <w:pStyle w:val="NoSpacing"/>
        <w:rPr>
          <w:rFonts w:ascii="Arial" w:hAnsi="Arial" w:cs="Arial"/>
          <w:i/>
        </w:rPr>
      </w:pPr>
    </w:p>
    <w:p w:rsidR="002B7948" w:rsidRPr="002B7948" w:rsidRDefault="002B7948" w:rsidP="002B7948">
      <w:pPr>
        <w:pStyle w:val="NoSpacing"/>
        <w:rPr>
          <w:rFonts w:ascii="Arial" w:hAnsi="Arial" w:cs="Arial"/>
          <w:i/>
        </w:rPr>
      </w:pPr>
      <w:r>
        <w:rPr>
          <w:rFonts w:ascii="Arial" w:hAnsi="Arial" w:cs="Arial"/>
          <w:i/>
        </w:rPr>
        <w:t xml:space="preserve">            Table 6</w:t>
      </w:r>
      <w:r w:rsidRPr="002B7948">
        <w:rPr>
          <w:rFonts w:ascii="Arial" w:hAnsi="Arial" w:cs="Arial"/>
          <w:i/>
        </w:rPr>
        <w:t xml:space="preserve">   Option</w:t>
      </w:r>
      <w:r>
        <w:rPr>
          <w:rFonts w:ascii="Arial" w:hAnsi="Arial" w:cs="Arial"/>
          <w:i/>
        </w:rPr>
        <w:t xml:space="preserve"> 2.1 </w:t>
      </w:r>
      <w:r w:rsidR="0065222E">
        <w:rPr>
          <w:rFonts w:ascii="Arial" w:hAnsi="Arial" w:cs="Arial"/>
          <w:i/>
        </w:rPr>
        <w:t xml:space="preserve">  </w:t>
      </w:r>
      <w:r w:rsidRPr="002B7948">
        <w:rPr>
          <w:rFonts w:ascii="Arial" w:hAnsi="Arial" w:cs="Arial"/>
          <w:i/>
        </w:rPr>
        <w:t xml:space="preserve"> </w:t>
      </w:r>
      <w:r>
        <w:rPr>
          <w:rFonts w:ascii="Arial" w:hAnsi="Arial" w:cs="Arial"/>
          <w:i/>
        </w:rPr>
        <w:t xml:space="preserve">One Wairarapa Council </w:t>
      </w:r>
      <w:r w:rsidR="0065222E">
        <w:rPr>
          <w:rFonts w:ascii="Arial" w:hAnsi="Arial" w:cs="Arial"/>
          <w:i/>
        </w:rPr>
        <w:t xml:space="preserve">potential </w:t>
      </w:r>
      <w:r>
        <w:rPr>
          <w:rFonts w:ascii="Arial" w:hAnsi="Arial" w:cs="Arial"/>
          <w:i/>
        </w:rPr>
        <w:t xml:space="preserve">cost </w:t>
      </w:r>
      <w:r w:rsidRPr="002B7948">
        <w:rPr>
          <w:rFonts w:ascii="Arial" w:hAnsi="Arial" w:cs="Arial"/>
          <w:i/>
        </w:rPr>
        <w:t xml:space="preserve"> savings</w:t>
      </w:r>
    </w:p>
    <w:p w:rsidR="005946E7" w:rsidRPr="00E035B1" w:rsidRDefault="005946E7" w:rsidP="005946E7">
      <w:pPr>
        <w:pStyle w:val="NoSpacing"/>
        <w:rPr>
          <w:rFonts w:ascii="Arial" w:hAnsi="Arial" w:cs="Arial"/>
        </w:rPr>
      </w:pPr>
    </w:p>
    <w:tbl>
      <w:tblPr>
        <w:tblW w:w="888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43"/>
        <w:gridCol w:w="990"/>
        <w:gridCol w:w="990"/>
        <w:gridCol w:w="900"/>
        <w:gridCol w:w="1260"/>
      </w:tblGrid>
      <w:tr w:rsidR="005946E7" w:rsidRPr="0091442C" w:rsidTr="005946E7">
        <w:tc>
          <w:tcPr>
            <w:tcW w:w="4743" w:type="dxa"/>
            <w:shd w:val="clear" w:color="auto" w:fill="F2F2F2" w:themeFill="background1" w:themeFillShade="F2"/>
          </w:tcPr>
          <w:p w:rsidR="005946E7" w:rsidRPr="0091442C" w:rsidRDefault="005946E7" w:rsidP="008045E6">
            <w:pPr>
              <w:pStyle w:val="NoSpacing"/>
              <w:rPr>
                <w:rFonts w:ascii="Arial" w:hAnsi="Arial" w:cs="Arial"/>
                <w:i/>
              </w:rPr>
            </w:pPr>
            <w:r w:rsidRPr="0091442C">
              <w:rPr>
                <w:rFonts w:ascii="Arial" w:hAnsi="Arial" w:cs="Arial"/>
                <w:i/>
              </w:rPr>
              <w:t>Aspect</w:t>
            </w:r>
          </w:p>
        </w:tc>
        <w:tc>
          <w:tcPr>
            <w:tcW w:w="2880" w:type="dxa"/>
            <w:gridSpan w:val="3"/>
            <w:shd w:val="clear" w:color="auto" w:fill="F2F2F2" w:themeFill="background1" w:themeFillShade="F2"/>
          </w:tcPr>
          <w:p w:rsidR="005946E7" w:rsidRDefault="005946E7" w:rsidP="008045E6">
            <w:pPr>
              <w:pStyle w:val="NoSpacing"/>
              <w:jc w:val="center"/>
              <w:rPr>
                <w:rFonts w:ascii="Arial" w:hAnsi="Arial" w:cs="Arial"/>
                <w:i/>
              </w:rPr>
            </w:pPr>
            <w:r>
              <w:rPr>
                <w:rFonts w:ascii="Arial" w:hAnsi="Arial" w:cs="Arial"/>
                <w:i/>
              </w:rPr>
              <w:t>Transition Years ($m)</w:t>
            </w:r>
          </w:p>
          <w:p w:rsidR="005946E7" w:rsidRDefault="005946E7" w:rsidP="008045E6">
            <w:pPr>
              <w:pStyle w:val="NoSpacing"/>
              <w:rPr>
                <w:rFonts w:ascii="Arial" w:hAnsi="Arial" w:cs="Arial"/>
                <w:i/>
              </w:rPr>
            </w:pPr>
          </w:p>
          <w:p w:rsidR="005946E7" w:rsidRPr="0091442C" w:rsidRDefault="005946E7" w:rsidP="008045E6">
            <w:pPr>
              <w:pStyle w:val="NoSpacing"/>
              <w:rPr>
                <w:rFonts w:ascii="Arial" w:hAnsi="Arial" w:cs="Arial"/>
                <w:i/>
              </w:rPr>
            </w:pPr>
            <w:r>
              <w:rPr>
                <w:rFonts w:ascii="Arial" w:hAnsi="Arial" w:cs="Arial"/>
                <w:i/>
              </w:rPr>
              <w:t xml:space="preserve">  Yr 1        Yr 2         Yr 3</w:t>
            </w:r>
          </w:p>
        </w:tc>
        <w:tc>
          <w:tcPr>
            <w:tcW w:w="1260" w:type="dxa"/>
            <w:shd w:val="clear" w:color="auto" w:fill="F2F2F2" w:themeFill="background1" w:themeFillShade="F2"/>
          </w:tcPr>
          <w:p w:rsidR="005946E7" w:rsidRDefault="005946E7" w:rsidP="008045E6">
            <w:pPr>
              <w:pStyle w:val="NoSpacing"/>
              <w:rPr>
                <w:rFonts w:ascii="Arial" w:hAnsi="Arial" w:cs="Arial"/>
                <w:i/>
              </w:rPr>
            </w:pPr>
            <w:r>
              <w:rPr>
                <w:rFonts w:ascii="Arial" w:hAnsi="Arial" w:cs="Arial"/>
                <w:i/>
              </w:rPr>
              <w:t xml:space="preserve">Year 4 </w:t>
            </w:r>
          </w:p>
          <w:p w:rsidR="005946E7" w:rsidRPr="0091442C" w:rsidRDefault="005946E7" w:rsidP="008045E6">
            <w:pPr>
              <w:pStyle w:val="NoSpacing"/>
              <w:rPr>
                <w:rFonts w:ascii="Arial" w:hAnsi="Arial" w:cs="Arial"/>
                <w:i/>
              </w:rPr>
            </w:pPr>
            <w:r>
              <w:rPr>
                <w:rFonts w:ascii="Arial" w:hAnsi="Arial" w:cs="Arial"/>
                <w:i/>
              </w:rPr>
              <w:t>onwards</w:t>
            </w:r>
          </w:p>
          <w:p w:rsidR="005946E7" w:rsidRDefault="005946E7" w:rsidP="008045E6">
            <w:pPr>
              <w:pStyle w:val="NoSpacing"/>
              <w:rPr>
                <w:rFonts w:ascii="Arial" w:hAnsi="Arial" w:cs="Arial"/>
                <w:i/>
              </w:rPr>
            </w:pPr>
            <w:r>
              <w:rPr>
                <w:rFonts w:ascii="Arial" w:hAnsi="Arial" w:cs="Arial"/>
                <w:i/>
              </w:rPr>
              <w:t>($m)</w:t>
            </w:r>
          </w:p>
          <w:p w:rsidR="005946E7" w:rsidRPr="0091442C" w:rsidRDefault="005946E7" w:rsidP="008045E6">
            <w:pPr>
              <w:pStyle w:val="NoSpacing"/>
              <w:rPr>
                <w:rFonts w:ascii="Arial" w:hAnsi="Arial" w:cs="Arial"/>
                <w:i/>
              </w:rPr>
            </w:pPr>
          </w:p>
        </w:tc>
      </w:tr>
      <w:tr w:rsidR="005946E7" w:rsidRPr="0091442C" w:rsidTr="008045E6">
        <w:tc>
          <w:tcPr>
            <w:tcW w:w="4743" w:type="dxa"/>
          </w:tcPr>
          <w:p w:rsidR="005946E7" w:rsidRPr="0091442C" w:rsidRDefault="005946E7" w:rsidP="008045E6">
            <w:pPr>
              <w:pStyle w:val="NoSpacing"/>
              <w:rPr>
                <w:rFonts w:ascii="Arial" w:hAnsi="Arial" w:cs="Arial"/>
              </w:rPr>
            </w:pPr>
            <w:r w:rsidRPr="0091442C">
              <w:rPr>
                <w:rFonts w:ascii="Arial" w:hAnsi="Arial" w:cs="Arial"/>
              </w:rPr>
              <w:t>Activities - Opex</w:t>
            </w:r>
          </w:p>
        </w:tc>
        <w:tc>
          <w:tcPr>
            <w:tcW w:w="990" w:type="dxa"/>
          </w:tcPr>
          <w:p w:rsidR="005946E7" w:rsidRPr="0091442C" w:rsidRDefault="005946E7" w:rsidP="008045E6">
            <w:pPr>
              <w:pStyle w:val="NoSpacing"/>
              <w:jc w:val="center"/>
              <w:rPr>
                <w:rFonts w:ascii="Arial" w:hAnsi="Arial" w:cs="Arial"/>
              </w:rPr>
            </w:pPr>
            <w:r>
              <w:rPr>
                <w:rFonts w:ascii="Arial" w:hAnsi="Arial" w:cs="Arial"/>
              </w:rPr>
              <w:t>0.45</w:t>
            </w:r>
          </w:p>
        </w:tc>
        <w:tc>
          <w:tcPr>
            <w:tcW w:w="990" w:type="dxa"/>
          </w:tcPr>
          <w:p w:rsidR="005946E7" w:rsidRPr="0091442C" w:rsidRDefault="005946E7" w:rsidP="008045E6">
            <w:pPr>
              <w:pStyle w:val="NoSpacing"/>
              <w:jc w:val="center"/>
              <w:rPr>
                <w:rFonts w:ascii="Arial" w:hAnsi="Arial" w:cs="Arial"/>
              </w:rPr>
            </w:pPr>
            <w:r>
              <w:rPr>
                <w:rFonts w:ascii="Arial" w:hAnsi="Arial" w:cs="Arial"/>
              </w:rPr>
              <w:t>0.56</w:t>
            </w:r>
          </w:p>
        </w:tc>
        <w:tc>
          <w:tcPr>
            <w:tcW w:w="900" w:type="dxa"/>
          </w:tcPr>
          <w:p w:rsidR="005946E7" w:rsidRPr="0091442C" w:rsidRDefault="005946E7" w:rsidP="008045E6">
            <w:pPr>
              <w:pStyle w:val="NoSpacing"/>
              <w:jc w:val="center"/>
              <w:rPr>
                <w:rFonts w:ascii="Arial" w:hAnsi="Arial" w:cs="Arial"/>
              </w:rPr>
            </w:pPr>
            <w:r>
              <w:rPr>
                <w:rFonts w:ascii="Arial" w:hAnsi="Arial" w:cs="Arial"/>
              </w:rPr>
              <w:t>0.56</w:t>
            </w:r>
          </w:p>
        </w:tc>
        <w:tc>
          <w:tcPr>
            <w:tcW w:w="1260" w:type="dxa"/>
          </w:tcPr>
          <w:p w:rsidR="005946E7" w:rsidRPr="0091442C" w:rsidRDefault="005946E7" w:rsidP="008045E6">
            <w:pPr>
              <w:pStyle w:val="NoSpacing"/>
              <w:jc w:val="center"/>
              <w:rPr>
                <w:rFonts w:ascii="Arial" w:hAnsi="Arial" w:cs="Arial"/>
              </w:rPr>
            </w:pPr>
            <w:r w:rsidRPr="0091442C">
              <w:rPr>
                <w:rFonts w:ascii="Arial" w:hAnsi="Arial" w:cs="Arial"/>
              </w:rPr>
              <w:t>0.56</w:t>
            </w:r>
          </w:p>
        </w:tc>
      </w:tr>
      <w:tr w:rsidR="005946E7" w:rsidRPr="0091442C" w:rsidTr="008045E6">
        <w:tc>
          <w:tcPr>
            <w:tcW w:w="4743" w:type="dxa"/>
          </w:tcPr>
          <w:p w:rsidR="005946E7" w:rsidRPr="0091442C" w:rsidRDefault="005946E7" w:rsidP="008045E6">
            <w:pPr>
              <w:pStyle w:val="NoSpacing"/>
              <w:rPr>
                <w:rFonts w:ascii="Arial" w:hAnsi="Arial" w:cs="Arial"/>
              </w:rPr>
            </w:pPr>
            <w:r w:rsidRPr="0091442C">
              <w:rPr>
                <w:rFonts w:ascii="Arial" w:hAnsi="Arial" w:cs="Arial"/>
              </w:rPr>
              <w:t>Activities - Capex</w:t>
            </w:r>
          </w:p>
        </w:tc>
        <w:tc>
          <w:tcPr>
            <w:tcW w:w="990" w:type="dxa"/>
          </w:tcPr>
          <w:p w:rsidR="005946E7" w:rsidRPr="0091442C" w:rsidRDefault="005946E7" w:rsidP="008045E6">
            <w:pPr>
              <w:pStyle w:val="NoSpacing"/>
              <w:jc w:val="center"/>
              <w:rPr>
                <w:rFonts w:ascii="Arial" w:hAnsi="Arial" w:cs="Arial"/>
              </w:rPr>
            </w:pPr>
            <w:r>
              <w:rPr>
                <w:rFonts w:ascii="Arial" w:hAnsi="Arial" w:cs="Arial"/>
              </w:rPr>
              <w:t>0</w:t>
            </w:r>
          </w:p>
        </w:tc>
        <w:tc>
          <w:tcPr>
            <w:tcW w:w="990" w:type="dxa"/>
          </w:tcPr>
          <w:p w:rsidR="005946E7" w:rsidRPr="0091442C" w:rsidRDefault="005946E7" w:rsidP="008045E6">
            <w:pPr>
              <w:pStyle w:val="NoSpacing"/>
              <w:jc w:val="center"/>
              <w:rPr>
                <w:rFonts w:ascii="Arial" w:hAnsi="Arial" w:cs="Arial"/>
              </w:rPr>
            </w:pPr>
            <w:r>
              <w:rPr>
                <w:rFonts w:ascii="Arial" w:hAnsi="Arial" w:cs="Arial"/>
              </w:rPr>
              <w:t>0.10</w:t>
            </w:r>
          </w:p>
        </w:tc>
        <w:tc>
          <w:tcPr>
            <w:tcW w:w="900" w:type="dxa"/>
          </w:tcPr>
          <w:p w:rsidR="005946E7" w:rsidRPr="0091442C" w:rsidRDefault="005946E7" w:rsidP="008045E6">
            <w:pPr>
              <w:pStyle w:val="NoSpacing"/>
              <w:jc w:val="center"/>
              <w:rPr>
                <w:rFonts w:ascii="Arial" w:hAnsi="Arial" w:cs="Arial"/>
              </w:rPr>
            </w:pPr>
            <w:r>
              <w:rPr>
                <w:rFonts w:ascii="Arial" w:hAnsi="Arial" w:cs="Arial"/>
              </w:rPr>
              <w:t>0.19</w:t>
            </w:r>
          </w:p>
        </w:tc>
        <w:tc>
          <w:tcPr>
            <w:tcW w:w="1260" w:type="dxa"/>
          </w:tcPr>
          <w:p w:rsidR="005946E7" w:rsidRPr="0091442C" w:rsidRDefault="005946E7" w:rsidP="008045E6">
            <w:pPr>
              <w:pStyle w:val="NoSpacing"/>
              <w:jc w:val="center"/>
              <w:rPr>
                <w:rFonts w:ascii="Arial" w:hAnsi="Arial" w:cs="Arial"/>
              </w:rPr>
            </w:pPr>
            <w:r w:rsidRPr="0091442C">
              <w:rPr>
                <w:rFonts w:ascii="Arial" w:hAnsi="Arial" w:cs="Arial"/>
              </w:rPr>
              <w:t>0.19</w:t>
            </w:r>
          </w:p>
        </w:tc>
      </w:tr>
      <w:tr w:rsidR="005946E7" w:rsidRPr="0091442C" w:rsidTr="008045E6">
        <w:tc>
          <w:tcPr>
            <w:tcW w:w="4743" w:type="dxa"/>
          </w:tcPr>
          <w:p w:rsidR="005946E7" w:rsidRPr="0091442C" w:rsidRDefault="005946E7" w:rsidP="008045E6">
            <w:pPr>
              <w:pStyle w:val="NoSpacing"/>
              <w:rPr>
                <w:rFonts w:ascii="Arial" w:hAnsi="Arial" w:cs="Arial"/>
              </w:rPr>
            </w:pPr>
            <w:r>
              <w:rPr>
                <w:rFonts w:ascii="Arial" w:hAnsi="Arial" w:cs="Arial"/>
              </w:rPr>
              <w:t>Corporate</w:t>
            </w:r>
            <w:r w:rsidRPr="0091442C">
              <w:rPr>
                <w:rFonts w:ascii="Arial" w:hAnsi="Arial" w:cs="Arial"/>
              </w:rPr>
              <w:t xml:space="preserve"> personnel costs</w:t>
            </w:r>
          </w:p>
        </w:tc>
        <w:tc>
          <w:tcPr>
            <w:tcW w:w="990" w:type="dxa"/>
          </w:tcPr>
          <w:p w:rsidR="005946E7" w:rsidRPr="0091442C" w:rsidRDefault="005946E7" w:rsidP="008045E6">
            <w:pPr>
              <w:pStyle w:val="NoSpacing"/>
              <w:jc w:val="center"/>
              <w:rPr>
                <w:rFonts w:ascii="Arial" w:hAnsi="Arial" w:cs="Arial"/>
              </w:rPr>
            </w:pPr>
            <w:r>
              <w:rPr>
                <w:rFonts w:ascii="Arial" w:hAnsi="Arial" w:cs="Arial"/>
              </w:rPr>
              <w:t>0</w:t>
            </w:r>
          </w:p>
        </w:tc>
        <w:tc>
          <w:tcPr>
            <w:tcW w:w="990" w:type="dxa"/>
          </w:tcPr>
          <w:p w:rsidR="005946E7" w:rsidRPr="0091442C" w:rsidRDefault="005946E7" w:rsidP="008045E6">
            <w:pPr>
              <w:pStyle w:val="NoSpacing"/>
              <w:jc w:val="center"/>
              <w:rPr>
                <w:rFonts w:ascii="Arial" w:hAnsi="Arial" w:cs="Arial"/>
              </w:rPr>
            </w:pPr>
            <w:r>
              <w:rPr>
                <w:rFonts w:ascii="Arial" w:hAnsi="Arial" w:cs="Arial"/>
              </w:rPr>
              <w:t>0</w:t>
            </w:r>
          </w:p>
        </w:tc>
        <w:tc>
          <w:tcPr>
            <w:tcW w:w="900" w:type="dxa"/>
          </w:tcPr>
          <w:p w:rsidR="005946E7" w:rsidRPr="0091442C" w:rsidRDefault="005946E7" w:rsidP="008045E6">
            <w:pPr>
              <w:pStyle w:val="NoSpacing"/>
              <w:jc w:val="center"/>
              <w:rPr>
                <w:rFonts w:ascii="Arial" w:hAnsi="Arial" w:cs="Arial"/>
              </w:rPr>
            </w:pPr>
            <w:r>
              <w:rPr>
                <w:rFonts w:ascii="Arial" w:hAnsi="Arial" w:cs="Arial"/>
              </w:rPr>
              <w:t>0</w:t>
            </w:r>
          </w:p>
        </w:tc>
        <w:tc>
          <w:tcPr>
            <w:tcW w:w="1260" w:type="dxa"/>
          </w:tcPr>
          <w:p w:rsidR="005946E7" w:rsidRPr="0091442C" w:rsidRDefault="005946E7" w:rsidP="008045E6">
            <w:pPr>
              <w:pStyle w:val="NoSpacing"/>
              <w:jc w:val="center"/>
              <w:rPr>
                <w:rFonts w:ascii="Arial" w:hAnsi="Arial" w:cs="Arial"/>
              </w:rPr>
            </w:pPr>
            <w:r>
              <w:rPr>
                <w:rFonts w:ascii="Arial" w:hAnsi="Arial" w:cs="Arial"/>
              </w:rPr>
              <w:t>0</w:t>
            </w:r>
          </w:p>
        </w:tc>
      </w:tr>
      <w:tr w:rsidR="005946E7" w:rsidRPr="0091442C" w:rsidTr="008045E6">
        <w:tc>
          <w:tcPr>
            <w:tcW w:w="4743" w:type="dxa"/>
          </w:tcPr>
          <w:p w:rsidR="005946E7" w:rsidRPr="0091442C" w:rsidRDefault="005946E7" w:rsidP="008045E6">
            <w:pPr>
              <w:pStyle w:val="NoSpacing"/>
              <w:rPr>
                <w:rFonts w:ascii="Arial" w:hAnsi="Arial" w:cs="Arial"/>
              </w:rPr>
            </w:pPr>
            <w:r w:rsidRPr="0091442C">
              <w:rPr>
                <w:rFonts w:ascii="Arial" w:hAnsi="Arial" w:cs="Arial"/>
              </w:rPr>
              <w:t>Corporate and internal charges – other costs</w:t>
            </w:r>
          </w:p>
        </w:tc>
        <w:tc>
          <w:tcPr>
            <w:tcW w:w="990" w:type="dxa"/>
          </w:tcPr>
          <w:p w:rsidR="005946E7" w:rsidRPr="0091442C" w:rsidRDefault="005946E7" w:rsidP="008045E6">
            <w:pPr>
              <w:pStyle w:val="NoSpacing"/>
              <w:jc w:val="center"/>
              <w:rPr>
                <w:rFonts w:ascii="Arial" w:hAnsi="Arial" w:cs="Arial"/>
              </w:rPr>
            </w:pPr>
            <w:r>
              <w:rPr>
                <w:rFonts w:ascii="Arial" w:hAnsi="Arial" w:cs="Arial"/>
              </w:rPr>
              <w:t>.04</w:t>
            </w:r>
          </w:p>
        </w:tc>
        <w:tc>
          <w:tcPr>
            <w:tcW w:w="990" w:type="dxa"/>
          </w:tcPr>
          <w:p w:rsidR="005946E7" w:rsidRPr="0091442C" w:rsidRDefault="005946E7" w:rsidP="008045E6">
            <w:pPr>
              <w:pStyle w:val="NoSpacing"/>
              <w:jc w:val="center"/>
              <w:rPr>
                <w:rFonts w:ascii="Arial" w:hAnsi="Arial" w:cs="Arial"/>
              </w:rPr>
            </w:pPr>
            <w:r>
              <w:rPr>
                <w:rFonts w:ascii="Arial" w:hAnsi="Arial" w:cs="Arial"/>
              </w:rPr>
              <w:t>.08</w:t>
            </w:r>
          </w:p>
        </w:tc>
        <w:tc>
          <w:tcPr>
            <w:tcW w:w="900" w:type="dxa"/>
          </w:tcPr>
          <w:p w:rsidR="005946E7" w:rsidRPr="0091442C" w:rsidRDefault="005946E7" w:rsidP="008045E6">
            <w:pPr>
              <w:pStyle w:val="NoSpacing"/>
              <w:jc w:val="center"/>
              <w:rPr>
                <w:rFonts w:ascii="Arial" w:hAnsi="Arial" w:cs="Arial"/>
              </w:rPr>
            </w:pPr>
            <w:r>
              <w:rPr>
                <w:rFonts w:ascii="Arial" w:hAnsi="Arial" w:cs="Arial"/>
              </w:rPr>
              <w:t>0.11</w:t>
            </w:r>
          </w:p>
        </w:tc>
        <w:tc>
          <w:tcPr>
            <w:tcW w:w="1260" w:type="dxa"/>
          </w:tcPr>
          <w:p w:rsidR="005946E7" w:rsidRPr="0091442C" w:rsidRDefault="005946E7" w:rsidP="008045E6">
            <w:pPr>
              <w:pStyle w:val="NoSpacing"/>
              <w:jc w:val="center"/>
              <w:rPr>
                <w:rFonts w:ascii="Arial" w:hAnsi="Arial" w:cs="Arial"/>
              </w:rPr>
            </w:pPr>
            <w:r w:rsidRPr="0091442C">
              <w:rPr>
                <w:rFonts w:ascii="Arial" w:hAnsi="Arial" w:cs="Arial"/>
              </w:rPr>
              <w:t>0.11</w:t>
            </w:r>
          </w:p>
        </w:tc>
      </w:tr>
      <w:tr w:rsidR="005946E7" w:rsidRPr="0091442C" w:rsidTr="008045E6">
        <w:tc>
          <w:tcPr>
            <w:tcW w:w="4743" w:type="dxa"/>
          </w:tcPr>
          <w:p w:rsidR="005946E7" w:rsidRPr="0091442C" w:rsidRDefault="005946E7" w:rsidP="008045E6">
            <w:pPr>
              <w:pStyle w:val="NoSpacing"/>
              <w:rPr>
                <w:rFonts w:ascii="Arial" w:hAnsi="Arial" w:cs="Arial"/>
              </w:rPr>
            </w:pPr>
            <w:r w:rsidRPr="0091442C">
              <w:rPr>
                <w:rFonts w:ascii="Arial" w:hAnsi="Arial" w:cs="Arial"/>
              </w:rPr>
              <w:t>Governance</w:t>
            </w:r>
          </w:p>
        </w:tc>
        <w:tc>
          <w:tcPr>
            <w:tcW w:w="990" w:type="dxa"/>
          </w:tcPr>
          <w:p w:rsidR="005946E7" w:rsidRPr="0091442C" w:rsidRDefault="005946E7" w:rsidP="008045E6">
            <w:pPr>
              <w:pStyle w:val="NoSpacing"/>
              <w:jc w:val="center"/>
              <w:rPr>
                <w:rFonts w:ascii="Arial" w:hAnsi="Arial" w:cs="Arial"/>
              </w:rPr>
            </w:pPr>
            <w:r>
              <w:rPr>
                <w:rFonts w:ascii="Arial" w:hAnsi="Arial" w:cs="Arial"/>
              </w:rPr>
              <w:t>0.31</w:t>
            </w:r>
          </w:p>
        </w:tc>
        <w:tc>
          <w:tcPr>
            <w:tcW w:w="990" w:type="dxa"/>
          </w:tcPr>
          <w:p w:rsidR="005946E7" w:rsidRPr="0091442C" w:rsidRDefault="005946E7" w:rsidP="008045E6">
            <w:pPr>
              <w:pStyle w:val="NoSpacing"/>
              <w:jc w:val="center"/>
              <w:rPr>
                <w:rFonts w:ascii="Arial" w:hAnsi="Arial" w:cs="Arial"/>
              </w:rPr>
            </w:pPr>
            <w:r>
              <w:rPr>
                <w:rFonts w:ascii="Arial" w:hAnsi="Arial" w:cs="Arial"/>
              </w:rPr>
              <w:t>0.31</w:t>
            </w:r>
          </w:p>
        </w:tc>
        <w:tc>
          <w:tcPr>
            <w:tcW w:w="900" w:type="dxa"/>
          </w:tcPr>
          <w:p w:rsidR="005946E7" w:rsidRPr="0091442C" w:rsidRDefault="005946E7" w:rsidP="008045E6">
            <w:pPr>
              <w:pStyle w:val="NoSpacing"/>
              <w:jc w:val="center"/>
              <w:rPr>
                <w:rFonts w:ascii="Arial" w:hAnsi="Arial" w:cs="Arial"/>
              </w:rPr>
            </w:pPr>
            <w:r>
              <w:rPr>
                <w:rFonts w:ascii="Arial" w:hAnsi="Arial" w:cs="Arial"/>
              </w:rPr>
              <w:t>0.31</w:t>
            </w:r>
          </w:p>
        </w:tc>
        <w:tc>
          <w:tcPr>
            <w:tcW w:w="1260" w:type="dxa"/>
          </w:tcPr>
          <w:p w:rsidR="005946E7" w:rsidRPr="0091442C" w:rsidRDefault="005946E7" w:rsidP="008045E6">
            <w:pPr>
              <w:pStyle w:val="NoSpacing"/>
              <w:jc w:val="center"/>
              <w:rPr>
                <w:rFonts w:ascii="Arial" w:hAnsi="Arial" w:cs="Arial"/>
              </w:rPr>
            </w:pPr>
            <w:r w:rsidRPr="0091442C">
              <w:rPr>
                <w:rFonts w:ascii="Arial" w:hAnsi="Arial" w:cs="Arial"/>
              </w:rPr>
              <w:t>0.31</w:t>
            </w:r>
          </w:p>
        </w:tc>
      </w:tr>
      <w:tr w:rsidR="005946E7" w:rsidRPr="0091442C" w:rsidTr="008045E6">
        <w:tc>
          <w:tcPr>
            <w:tcW w:w="4743" w:type="dxa"/>
          </w:tcPr>
          <w:p w:rsidR="005946E7" w:rsidRPr="0091442C" w:rsidRDefault="005946E7" w:rsidP="008045E6">
            <w:pPr>
              <w:pStyle w:val="NoSpacing"/>
              <w:rPr>
                <w:rFonts w:ascii="Arial" w:hAnsi="Arial" w:cs="Arial"/>
              </w:rPr>
            </w:pPr>
            <w:r w:rsidRPr="0091442C">
              <w:rPr>
                <w:rFonts w:ascii="Arial" w:hAnsi="Arial" w:cs="Arial"/>
              </w:rPr>
              <w:t>Audit</w:t>
            </w:r>
          </w:p>
        </w:tc>
        <w:tc>
          <w:tcPr>
            <w:tcW w:w="990" w:type="dxa"/>
          </w:tcPr>
          <w:p w:rsidR="005946E7" w:rsidRPr="0091442C" w:rsidRDefault="005946E7" w:rsidP="008045E6">
            <w:pPr>
              <w:pStyle w:val="NoSpacing"/>
              <w:jc w:val="center"/>
              <w:rPr>
                <w:rFonts w:ascii="Arial" w:hAnsi="Arial" w:cs="Arial"/>
              </w:rPr>
            </w:pPr>
            <w:r>
              <w:rPr>
                <w:rFonts w:ascii="Arial" w:hAnsi="Arial" w:cs="Arial"/>
              </w:rPr>
              <w:t>0.16</w:t>
            </w:r>
          </w:p>
        </w:tc>
        <w:tc>
          <w:tcPr>
            <w:tcW w:w="990" w:type="dxa"/>
          </w:tcPr>
          <w:p w:rsidR="005946E7" w:rsidRPr="0091442C" w:rsidRDefault="005946E7" w:rsidP="008045E6">
            <w:pPr>
              <w:pStyle w:val="NoSpacing"/>
              <w:jc w:val="center"/>
              <w:rPr>
                <w:rFonts w:ascii="Arial" w:hAnsi="Arial" w:cs="Arial"/>
              </w:rPr>
            </w:pPr>
            <w:r>
              <w:rPr>
                <w:rFonts w:ascii="Arial" w:hAnsi="Arial" w:cs="Arial"/>
              </w:rPr>
              <w:t>0.16</w:t>
            </w:r>
          </w:p>
        </w:tc>
        <w:tc>
          <w:tcPr>
            <w:tcW w:w="900" w:type="dxa"/>
          </w:tcPr>
          <w:p w:rsidR="005946E7" w:rsidRPr="0091442C" w:rsidRDefault="005946E7" w:rsidP="008045E6">
            <w:pPr>
              <w:pStyle w:val="NoSpacing"/>
              <w:jc w:val="center"/>
              <w:rPr>
                <w:rFonts w:ascii="Arial" w:hAnsi="Arial" w:cs="Arial"/>
              </w:rPr>
            </w:pPr>
            <w:r>
              <w:rPr>
                <w:rFonts w:ascii="Arial" w:hAnsi="Arial" w:cs="Arial"/>
              </w:rPr>
              <w:t>0.16</w:t>
            </w:r>
          </w:p>
        </w:tc>
        <w:tc>
          <w:tcPr>
            <w:tcW w:w="1260" w:type="dxa"/>
          </w:tcPr>
          <w:p w:rsidR="005946E7" w:rsidRPr="0091442C" w:rsidRDefault="005946E7" w:rsidP="008045E6">
            <w:pPr>
              <w:pStyle w:val="NoSpacing"/>
              <w:jc w:val="center"/>
              <w:rPr>
                <w:rFonts w:ascii="Arial" w:hAnsi="Arial" w:cs="Arial"/>
              </w:rPr>
            </w:pPr>
            <w:r w:rsidRPr="0091442C">
              <w:rPr>
                <w:rFonts w:ascii="Arial" w:hAnsi="Arial" w:cs="Arial"/>
              </w:rPr>
              <w:t>0.16</w:t>
            </w:r>
          </w:p>
        </w:tc>
      </w:tr>
      <w:tr w:rsidR="005946E7" w:rsidRPr="0091442C" w:rsidTr="005946E7">
        <w:tc>
          <w:tcPr>
            <w:tcW w:w="4743" w:type="dxa"/>
            <w:shd w:val="clear" w:color="auto" w:fill="FBE4D5" w:themeFill="accent2" w:themeFillTint="33"/>
          </w:tcPr>
          <w:p w:rsidR="005946E7" w:rsidRPr="0091442C" w:rsidRDefault="005946E7" w:rsidP="008045E6">
            <w:pPr>
              <w:pStyle w:val="NoSpacing"/>
              <w:rPr>
                <w:rFonts w:ascii="Arial" w:hAnsi="Arial" w:cs="Arial"/>
                <w:b/>
              </w:rPr>
            </w:pPr>
            <w:r w:rsidRPr="0091442C">
              <w:rPr>
                <w:rFonts w:ascii="Arial" w:hAnsi="Arial" w:cs="Arial"/>
                <w:b/>
              </w:rPr>
              <w:t xml:space="preserve">Estimated yearly savings </w:t>
            </w:r>
          </w:p>
        </w:tc>
        <w:tc>
          <w:tcPr>
            <w:tcW w:w="99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$0.96</w:t>
            </w:r>
          </w:p>
        </w:tc>
        <w:tc>
          <w:tcPr>
            <w:tcW w:w="99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$1.21</w:t>
            </w:r>
          </w:p>
        </w:tc>
        <w:tc>
          <w:tcPr>
            <w:tcW w:w="90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$1.33</w:t>
            </w:r>
          </w:p>
        </w:tc>
        <w:tc>
          <w:tcPr>
            <w:tcW w:w="126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$1.33m</w:t>
            </w:r>
          </w:p>
        </w:tc>
      </w:tr>
    </w:tbl>
    <w:p w:rsidR="005946E7" w:rsidRDefault="005946E7" w:rsidP="005946E7">
      <w:pPr>
        <w:pStyle w:val="NoSpacing"/>
        <w:rPr>
          <w:rFonts w:ascii="Arial" w:hAnsi="Arial" w:cs="Arial"/>
        </w:rPr>
      </w:pPr>
    </w:p>
    <w:p w:rsidR="005946E7" w:rsidRDefault="005946E7" w:rsidP="005946E7">
      <w:pPr>
        <w:pStyle w:val="NoSpacing"/>
        <w:rPr>
          <w:rFonts w:ascii="Arial" w:hAnsi="Arial" w:cs="Arial"/>
        </w:rPr>
      </w:pPr>
    </w:p>
    <w:p w:rsidR="005946E7" w:rsidRPr="00E035B1" w:rsidRDefault="00095742" w:rsidP="005946E7">
      <w:pPr>
        <w:pStyle w:val="NoSpacing"/>
        <w:rPr>
          <w:rFonts w:ascii="Arial" w:hAnsi="Arial" w:cs="Arial"/>
          <w:i/>
        </w:rPr>
      </w:pPr>
      <w:r>
        <w:rPr>
          <w:rFonts w:ascii="Arial" w:hAnsi="Arial" w:cs="Arial"/>
          <w:b/>
          <w:i/>
        </w:rPr>
        <w:t>Option</w:t>
      </w:r>
      <w:r w:rsidR="005946E7">
        <w:rPr>
          <w:rFonts w:ascii="Arial" w:hAnsi="Arial" w:cs="Arial"/>
          <w:b/>
          <w:i/>
        </w:rPr>
        <w:t xml:space="preserve"> 2</w:t>
      </w:r>
      <w:r>
        <w:rPr>
          <w:rFonts w:ascii="Arial" w:hAnsi="Arial" w:cs="Arial"/>
          <w:b/>
          <w:i/>
        </w:rPr>
        <w:t xml:space="preserve">.2  </w:t>
      </w:r>
      <w:r>
        <w:rPr>
          <w:rFonts w:ascii="Arial" w:hAnsi="Arial" w:cs="Arial"/>
          <w:i/>
        </w:rPr>
        <w:t xml:space="preserve">  </w:t>
      </w:r>
      <w:r w:rsidR="005946E7">
        <w:rPr>
          <w:rFonts w:ascii="Arial" w:hAnsi="Arial" w:cs="Arial"/>
          <w:i/>
        </w:rPr>
        <w:t xml:space="preserve">One Hutt Territorial Authority (Hutt and Upper Hutt City </w:t>
      </w:r>
      <w:r>
        <w:rPr>
          <w:rFonts w:ascii="Arial" w:hAnsi="Arial" w:cs="Arial"/>
          <w:i/>
        </w:rPr>
        <w:t>Councils into one</w:t>
      </w:r>
      <w:r w:rsidR="005946E7" w:rsidRPr="00E035B1">
        <w:rPr>
          <w:rFonts w:ascii="Arial" w:hAnsi="Arial" w:cs="Arial"/>
          <w:i/>
        </w:rPr>
        <w:t xml:space="preserve"> Council)</w:t>
      </w:r>
    </w:p>
    <w:p w:rsidR="005946E7" w:rsidRDefault="005946E7" w:rsidP="005946E7">
      <w:pPr>
        <w:pStyle w:val="NoSpacing"/>
        <w:rPr>
          <w:rFonts w:ascii="Arial" w:hAnsi="Arial" w:cs="Arial"/>
        </w:rPr>
      </w:pPr>
    </w:p>
    <w:p w:rsidR="002B7948" w:rsidRDefault="002B7948" w:rsidP="005946E7">
      <w:pPr>
        <w:pStyle w:val="NoSpacing"/>
        <w:rPr>
          <w:rFonts w:ascii="Arial" w:hAnsi="Arial" w:cs="Arial"/>
          <w:i/>
        </w:rPr>
      </w:pPr>
      <w:r>
        <w:rPr>
          <w:rFonts w:ascii="Arial" w:hAnsi="Arial" w:cs="Arial"/>
        </w:rPr>
        <w:t xml:space="preserve">           </w:t>
      </w:r>
      <w:r>
        <w:rPr>
          <w:rFonts w:ascii="Arial" w:hAnsi="Arial" w:cs="Arial"/>
          <w:i/>
        </w:rPr>
        <w:t>Table 7</w:t>
      </w:r>
      <w:r w:rsidRPr="002B7948">
        <w:rPr>
          <w:rFonts w:ascii="Arial" w:hAnsi="Arial" w:cs="Arial"/>
          <w:i/>
        </w:rPr>
        <w:t xml:space="preserve">   Option</w:t>
      </w:r>
      <w:r>
        <w:rPr>
          <w:rFonts w:ascii="Arial" w:hAnsi="Arial" w:cs="Arial"/>
          <w:i/>
        </w:rPr>
        <w:t xml:space="preserve"> 2.2</w:t>
      </w:r>
      <w:r w:rsidR="0065222E">
        <w:rPr>
          <w:rFonts w:ascii="Arial" w:hAnsi="Arial" w:cs="Arial"/>
          <w:i/>
        </w:rPr>
        <w:t xml:space="preserve">  </w:t>
      </w:r>
      <w:r w:rsidRPr="002B7948">
        <w:rPr>
          <w:rFonts w:ascii="Arial" w:hAnsi="Arial" w:cs="Arial"/>
          <w:i/>
        </w:rPr>
        <w:t xml:space="preserve"> </w:t>
      </w:r>
      <w:r>
        <w:rPr>
          <w:rFonts w:ascii="Arial" w:hAnsi="Arial" w:cs="Arial"/>
          <w:i/>
        </w:rPr>
        <w:t>One Hutt</w:t>
      </w:r>
      <w:r w:rsidRPr="002B7948">
        <w:rPr>
          <w:rFonts w:ascii="Arial" w:hAnsi="Arial" w:cs="Arial"/>
          <w:i/>
        </w:rPr>
        <w:t xml:space="preserve"> Council </w:t>
      </w:r>
      <w:r w:rsidR="0065222E">
        <w:rPr>
          <w:rFonts w:ascii="Arial" w:hAnsi="Arial" w:cs="Arial"/>
          <w:i/>
        </w:rPr>
        <w:t xml:space="preserve">potential </w:t>
      </w:r>
      <w:r w:rsidRPr="002B7948">
        <w:rPr>
          <w:rFonts w:ascii="Arial" w:hAnsi="Arial" w:cs="Arial"/>
          <w:i/>
        </w:rPr>
        <w:t>cost  savings</w:t>
      </w:r>
    </w:p>
    <w:p w:rsidR="002B7948" w:rsidRPr="00E035B1" w:rsidRDefault="002B7948" w:rsidP="005946E7">
      <w:pPr>
        <w:pStyle w:val="NoSpacing"/>
        <w:rPr>
          <w:rFonts w:ascii="Arial" w:hAnsi="Arial" w:cs="Arial"/>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53"/>
        <w:gridCol w:w="990"/>
        <w:gridCol w:w="990"/>
        <w:gridCol w:w="990"/>
        <w:gridCol w:w="1170"/>
      </w:tblGrid>
      <w:tr w:rsidR="005946E7" w:rsidRPr="0091442C" w:rsidTr="00095742">
        <w:tc>
          <w:tcPr>
            <w:tcW w:w="4653" w:type="dxa"/>
            <w:shd w:val="clear" w:color="auto" w:fill="F2F2F2" w:themeFill="background1" w:themeFillShade="F2"/>
          </w:tcPr>
          <w:p w:rsidR="005946E7" w:rsidRPr="0091442C" w:rsidRDefault="005946E7" w:rsidP="008045E6">
            <w:pPr>
              <w:pStyle w:val="NoSpacing"/>
              <w:rPr>
                <w:rFonts w:ascii="Arial" w:hAnsi="Arial" w:cs="Arial"/>
                <w:i/>
              </w:rPr>
            </w:pPr>
            <w:r w:rsidRPr="0091442C">
              <w:rPr>
                <w:rFonts w:ascii="Arial" w:hAnsi="Arial" w:cs="Arial"/>
                <w:i/>
              </w:rPr>
              <w:t>Aspect</w:t>
            </w:r>
          </w:p>
        </w:tc>
        <w:tc>
          <w:tcPr>
            <w:tcW w:w="2970" w:type="dxa"/>
            <w:gridSpan w:val="3"/>
            <w:shd w:val="clear" w:color="auto" w:fill="F2F2F2" w:themeFill="background1" w:themeFillShade="F2"/>
          </w:tcPr>
          <w:p w:rsidR="005946E7" w:rsidRDefault="005946E7" w:rsidP="008045E6">
            <w:pPr>
              <w:pStyle w:val="NoSpacing"/>
              <w:jc w:val="center"/>
              <w:rPr>
                <w:rFonts w:ascii="Arial" w:hAnsi="Arial" w:cs="Arial"/>
                <w:i/>
              </w:rPr>
            </w:pPr>
            <w:r>
              <w:rPr>
                <w:rFonts w:ascii="Arial" w:hAnsi="Arial" w:cs="Arial"/>
                <w:i/>
              </w:rPr>
              <w:t>Transition Years</w:t>
            </w:r>
            <w:r w:rsidR="00095742">
              <w:rPr>
                <w:rFonts w:ascii="Arial" w:hAnsi="Arial" w:cs="Arial"/>
                <w:i/>
              </w:rPr>
              <w:t xml:space="preserve"> ($m)</w:t>
            </w:r>
          </w:p>
          <w:p w:rsidR="005946E7" w:rsidRDefault="005946E7" w:rsidP="008045E6">
            <w:pPr>
              <w:pStyle w:val="NoSpacing"/>
              <w:rPr>
                <w:rFonts w:ascii="Arial" w:hAnsi="Arial" w:cs="Arial"/>
                <w:i/>
              </w:rPr>
            </w:pPr>
          </w:p>
          <w:p w:rsidR="005946E7" w:rsidRPr="0091442C" w:rsidRDefault="005946E7" w:rsidP="008045E6">
            <w:pPr>
              <w:pStyle w:val="NoSpacing"/>
              <w:rPr>
                <w:rFonts w:ascii="Arial" w:hAnsi="Arial" w:cs="Arial"/>
                <w:i/>
              </w:rPr>
            </w:pPr>
            <w:r>
              <w:rPr>
                <w:rFonts w:ascii="Arial" w:hAnsi="Arial" w:cs="Arial"/>
                <w:i/>
              </w:rPr>
              <w:t xml:space="preserve"> Yr 1       Yr 2         Yr 3</w:t>
            </w:r>
          </w:p>
        </w:tc>
        <w:tc>
          <w:tcPr>
            <w:tcW w:w="1170" w:type="dxa"/>
            <w:shd w:val="clear" w:color="auto" w:fill="F2F2F2" w:themeFill="background1" w:themeFillShade="F2"/>
          </w:tcPr>
          <w:p w:rsidR="005946E7" w:rsidRDefault="005946E7" w:rsidP="008045E6">
            <w:pPr>
              <w:pStyle w:val="NoSpacing"/>
              <w:rPr>
                <w:rFonts w:ascii="Arial" w:hAnsi="Arial" w:cs="Arial"/>
                <w:i/>
              </w:rPr>
            </w:pPr>
            <w:r>
              <w:rPr>
                <w:rFonts w:ascii="Arial" w:hAnsi="Arial" w:cs="Arial"/>
                <w:i/>
              </w:rPr>
              <w:t>Year 4</w:t>
            </w:r>
          </w:p>
          <w:p w:rsidR="005946E7" w:rsidRPr="0091442C" w:rsidRDefault="005946E7" w:rsidP="008045E6">
            <w:pPr>
              <w:pStyle w:val="NoSpacing"/>
              <w:rPr>
                <w:rFonts w:ascii="Arial" w:hAnsi="Arial" w:cs="Arial"/>
                <w:i/>
              </w:rPr>
            </w:pPr>
            <w:r>
              <w:rPr>
                <w:rFonts w:ascii="Arial" w:hAnsi="Arial" w:cs="Arial"/>
                <w:i/>
              </w:rPr>
              <w:t>onwards</w:t>
            </w:r>
          </w:p>
          <w:p w:rsidR="005946E7" w:rsidRDefault="00095742" w:rsidP="008045E6">
            <w:pPr>
              <w:pStyle w:val="NoSpacing"/>
              <w:rPr>
                <w:rFonts w:ascii="Arial" w:hAnsi="Arial" w:cs="Arial"/>
                <w:i/>
              </w:rPr>
            </w:pPr>
            <w:r>
              <w:rPr>
                <w:rFonts w:ascii="Arial" w:hAnsi="Arial" w:cs="Arial"/>
                <w:i/>
              </w:rPr>
              <w:t>($m)</w:t>
            </w:r>
          </w:p>
          <w:p w:rsidR="00095742" w:rsidRPr="0091442C" w:rsidRDefault="00095742" w:rsidP="008045E6">
            <w:pPr>
              <w:pStyle w:val="NoSpacing"/>
              <w:rPr>
                <w:rFonts w:ascii="Arial" w:hAnsi="Arial" w:cs="Arial"/>
                <w:i/>
              </w:rPr>
            </w:pPr>
          </w:p>
        </w:tc>
      </w:tr>
      <w:tr w:rsidR="005946E7" w:rsidRPr="0091442C" w:rsidTr="008045E6">
        <w:tc>
          <w:tcPr>
            <w:tcW w:w="4653" w:type="dxa"/>
          </w:tcPr>
          <w:p w:rsidR="005946E7" w:rsidRPr="0091442C" w:rsidRDefault="005946E7" w:rsidP="008045E6">
            <w:pPr>
              <w:pStyle w:val="NoSpacing"/>
              <w:rPr>
                <w:rFonts w:ascii="Arial" w:hAnsi="Arial" w:cs="Arial"/>
              </w:rPr>
            </w:pPr>
            <w:r w:rsidRPr="0091442C">
              <w:rPr>
                <w:rFonts w:ascii="Arial" w:hAnsi="Arial" w:cs="Arial"/>
              </w:rPr>
              <w:t>Activities - Opex</w:t>
            </w:r>
          </w:p>
        </w:tc>
        <w:tc>
          <w:tcPr>
            <w:tcW w:w="990" w:type="dxa"/>
          </w:tcPr>
          <w:p w:rsidR="005946E7" w:rsidRPr="0091442C" w:rsidRDefault="005946E7" w:rsidP="008045E6">
            <w:pPr>
              <w:pStyle w:val="NoSpacing"/>
              <w:jc w:val="center"/>
              <w:rPr>
                <w:rFonts w:ascii="Arial" w:hAnsi="Arial" w:cs="Arial"/>
              </w:rPr>
            </w:pPr>
            <w:r>
              <w:rPr>
                <w:rFonts w:ascii="Arial" w:hAnsi="Arial" w:cs="Arial"/>
              </w:rPr>
              <w:t>1.36</w:t>
            </w:r>
          </w:p>
        </w:tc>
        <w:tc>
          <w:tcPr>
            <w:tcW w:w="990" w:type="dxa"/>
          </w:tcPr>
          <w:p w:rsidR="005946E7" w:rsidRPr="0091442C" w:rsidRDefault="005946E7" w:rsidP="008045E6">
            <w:pPr>
              <w:pStyle w:val="NoSpacing"/>
              <w:jc w:val="center"/>
              <w:rPr>
                <w:rFonts w:ascii="Arial" w:hAnsi="Arial" w:cs="Arial"/>
              </w:rPr>
            </w:pPr>
            <w:r>
              <w:rPr>
                <w:rFonts w:ascii="Arial" w:hAnsi="Arial" w:cs="Arial"/>
              </w:rPr>
              <w:t>1.70</w:t>
            </w:r>
          </w:p>
        </w:tc>
        <w:tc>
          <w:tcPr>
            <w:tcW w:w="990" w:type="dxa"/>
          </w:tcPr>
          <w:p w:rsidR="005946E7" w:rsidRPr="0091442C" w:rsidRDefault="005946E7" w:rsidP="008045E6">
            <w:pPr>
              <w:pStyle w:val="NoSpacing"/>
              <w:jc w:val="center"/>
              <w:rPr>
                <w:rFonts w:ascii="Arial" w:hAnsi="Arial" w:cs="Arial"/>
              </w:rPr>
            </w:pPr>
            <w:r>
              <w:rPr>
                <w:rFonts w:ascii="Arial" w:hAnsi="Arial" w:cs="Arial"/>
              </w:rPr>
              <w:t>1.70</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1.70</w:t>
            </w:r>
          </w:p>
        </w:tc>
      </w:tr>
      <w:tr w:rsidR="005946E7" w:rsidRPr="0091442C" w:rsidTr="008045E6">
        <w:tc>
          <w:tcPr>
            <w:tcW w:w="4653" w:type="dxa"/>
          </w:tcPr>
          <w:p w:rsidR="005946E7" w:rsidRPr="0091442C" w:rsidRDefault="005946E7" w:rsidP="008045E6">
            <w:pPr>
              <w:pStyle w:val="NoSpacing"/>
              <w:rPr>
                <w:rFonts w:ascii="Arial" w:hAnsi="Arial" w:cs="Arial"/>
              </w:rPr>
            </w:pPr>
            <w:r w:rsidRPr="0091442C">
              <w:rPr>
                <w:rFonts w:ascii="Arial" w:hAnsi="Arial" w:cs="Arial"/>
              </w:rPr>
              <w:t>Activities - Capex</w:t>
            </w:r>
          </w:p>
        </w:tc>
        <w:tc>
          <w:tcPr>
            <w:tcW w:w="990" w:type="dxa"/>
          </w:tcPr>
          <w:p w:rsidR="005946E7" w:rsidRPr="0091442C" w:rsidRDefault="005946E7" w:rsidP="008045E6">
            <w:pPr>
              <w:pStyle w:val="NoSpacing"/>
              <w:jc w:val="center"/>
              <w:rPr>
                <w:rFonts w:ascii="Arial" w:hAnsi="Arial" w:cs="Arial"/>
              </w:rPr>
            </w:pPr>
            <w:r>
              <w:rPr>
                <w:rFonts w:ascii="Arial" w:hAnsi="Arial" w:cs="Arial"/>
              </w:rPr>
              <w:t>0</w:t>
            </w:r>
          </w:p>
        </w:tc>
        <w:tc>
          <w:tcPr>
            <w:tcW w:w="990" w:type="dxa"/>
          </w:tcPr>
          <w:p w:rsidR="005946E7" w:rsidRPr="0091442C" w:rsidRDefault="005946E7" w:rsidP="008045E6">
            <w:pPr>
              <w:pStyle w:val="NoSpacing"/>
              <w:jc w:val="center"/>
              <w:rPr>
                <w:rFonts w:ascii="Arial" w:hAnsi="Arial" w:cs="Arial"/>
              </w:rPr>
            </w:pPr>
            <w:r>
              <w:rPr>
                <w:rFonts w:ascii="Arial" w:hAnsi="Arial" w:cs="Arial"/>
              </w:rPr>
              <w:t>0.26</w:t>
            </w:r>
          </w:p>
        </w:tc>
        <w:tc>
          <w:tcPr>
            <w:tcW w:w="990" w:type="dxa"/>
          </w:tcPr>
          <w:p w:rsidR="005946E7" w:rsidRPr="0091442C" w:rsidRDefault="005946E7" w:rsidP="008045E6">
            <w:pPr>
              <w:pStyle w:val="NoSpacing"/>
              <w:jc w:val="center"/>
              <w:rPr>
                <w:rFonts w:ascii="Arial" w:hAnsi="Arial" w:cs="Arial"/>
              </w:rPr>
            </w:pPr>
            <w:r>
              <w:rPr>
                <w:rFonts w:ascii="Arial" w:hAnsi="Arial" w:cs="Arial"/>
              </w:rPr>
              <w:t>0.52</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0.52</w:t>
            </w:r>
          </w:p>
        </w:tc>
      </w:tr>
      <w:tr w:rsidR="005946E7" w:rsidRPr="0091442C" w:rsidTr="008045E6">
        <w:tc>
          <w:tcPr>
            <w:tcW w:w="4653" w:type="dxa"/>
          </w:tcPr>
          <w:p w:rsidR="005946E7" w:rsidRPr="0091442C" w:rsidRDefault="005946E7" w:rsidP="008045E6">
            <w:pPr>
              <w:pStyle w:val="NoSpacing"/>
              <w:rPr>
                <w:rFonts w:ascii="Arial" w:hAnsi="Arial" w:cs="Arial"/>
              </w:rPr>
            </w:pPr>
            <w:r w:rsidRPr="0091442C">
              <w:rPr>
                <w:rFonts w:ascii="Arial" w:hAnsi="Arial" w:cs="Arial"/>
              </w:rPr>
              <w:t>Corporate and internal charges – personnel costs</w:t>
            </w:r>
          </w:p>
        </w:tc>
        <w:tc>
          <w:tcPr>
            <w:tcW w:w="990" w:type="dxa"/>
          </w:tcPr>
          <w:p w:rsidR="005946E7" w:rsidRPr="0091442C" w:rsidRDefault="005946E7" w:rsidP="008045E6">
            <w:pPr>
              <w:pStyle w:val="NoSpacing"/>
              <w:jc w:val="center"/>
              <w:rPr>
                <w:rFonts w:ascii="Arial" w:hAnsi="Arial" w:cs="Arial"/>
              </w:rPr>
            </w:pPr>
            <w:r>
              <w:rPr>
                <w:rFonts w:ascii="Arial" w:hAnsi="Arial" w:cs="Arial"/>
              </w:rPr>
              <w:t>2.00</w:t>
            </w:r>
          </w:p>
        </w:tc>
        <w:tc>
          <w:tcPr>
            <w:tcW w:w="990" w:type="dxa"/>
          </w:tcPr>
          <w:p w:rsidR="005946E7" w:rsidRPr="0091442C" w:rsidRDefault="005946E7" w:rsidP="008045E6">
            <w:pPr>
              <w:pStyle w:val="NoSpacing"/>
              <w:jc w:val="center"/>
              <w:rPr>
                <w:rFonts w:ascii="Arial" w:hAnsi="Arial" w:cs="Arial"/>
              </w:rPr>
            </w:pPr>
            <w:r>
              <w:rPr>
                <w:rFonts w:ascii="Arial" w:hAnsi="Arial" w:cs="Arial"/>
              </w:rPr>
              <w:t>2.50</w:t>
            </w:r>
          </w:p>
        </w:tc>
        <w:tc>
          <w:tcPr>
            <w:tcW w:w="990" w:type="dxa"/>
          </w:tcPr>
          <w:p w:rsidR="005946E7" w:rsidRPr="0091442C" w:rsidRDefault="005946E7" w:rsidP="008045E6">
            <w:pPr>
              <w:pStyle w:val="NoSpacing"/>
              <w:jc w:val="center"/>
              <w:rPr>
                <w:rFonts w:ascii="Arial" w:hAnsi="Arial" w:cs="Arial"/>
              </w:rPr>
            </w:pPr>
            <w:r>
              <w:rPr>
                <w:rFonts w:ascii="Arial" w:hAnsi="Arial" w:cs="Arial"/>
              </w:rPr>
              <w:t>2.50</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2.50</w:t>
            </w:r>
          </w:p>
        </w:tc>
      </w:tr>
      <w:tr w:rsidR="005946E7" w:rsidRPr="0091442C" w:rsidTr="008045E6">
        <w:tc>
          <w:tcPr>
            <w:tcW w:w="4653" w:type="dxa"/>
          </w:tcPr>
          <w:p w:rsidR="005946E7" w:rsidRPr="0091442C" w:rsidRDefault="005946E7" w:rsidP="008045E6">
            <w:pPr>
              <w:pStyle w:val="NoSpacing"/>
              <w:rPr>
                <w:rFonts w:ascii="Arial" w:hAnsi="Arial" w:cs="Arial"/>
              </w:rPr>
            </w:pPr>
            <w:r w:rsidRPr="0091442C">
              <w:rPr>
                <w:rFonts w:ascii="Arial" w:hAnsi="Arial" w:cs="Arial"/>
              </w:rPr>
              <w:t>Corporate and internal charges – other costs</w:t>
            </w:r>
          </w:p>
        </w:tc>
        <w:tc>
          <w:tcPr>
            <w:tcW w:w="990" w:type="dxa"/>
          </w:tcPr>
          <w:p w:rsidR="005946E7" w:rsidRPr="0091442C" w:rsidRDefault="005946E7" w:rsidP="008045E6">
            <w:pPr>
              <w:pStyle w:val="NoSpacing"/>
              <w:jc w:val="center"/>
              <w:rPr>
                <w:rFonts w:ascii="Arial" w:hAnsi="Arial" w:cs="Arial"/>
              </w:rPr>
            </w:pPr>
            <w:r>
              <w:rPr>
                <w:rFonts w:ascii="Arial" w:hAnsi="Arial" w:cs="Arial"/>
              </w:rPr>
              <w:t>0.27</w:t>
            </w:r>
          </w:p>
        </w:tc>
        <w:tc>
          <w:tcPr>
            <w:tcW w:w="990" w:type="dxa"/>
          </w:tcPr>
          <w:p w:rsidR="005946E7" w:rsidRPr="0091442C" w:rsidRDefault="005946E7" w:rsidP="008045E6">
            <w:pPr>
              <w:pStyle w:val="NoSpacing"/>
              <w:jc w:val="center"/>
              <w:rPr>
                <w:rFonts w:ascii="Arial" w:hAnsi="Arial" w:cs="Arial"/>
              </w:rPr>
            </w:pPr>
            <w:r>
              <w:rPr>
                <w:rFonts w:ascii="Arial" w:hAnsi="Arial" w:cs="Arial"/>
              </w:rPr>
              <w:t>0.40</w:t>
            </w:r>
          </w:p>
        </w:tc>
        <w:tc>
          <w:tcPr>
            <w:tcW w:w="990" w:type="dxa"/>
          </w:tcPr>
          <w:p w:rsidR="005946E7" w:rsidRPr="0091442C" w:rsidRDefault="005946E7" w:rsidP="008045E6">
            <w:pPr>
              <w:pStyle w:val="NoSpacing"/>
              <w:jc w:val="center"/>
              <w:rPr>
                <w:rFonts w:ascii="Arial" w:hAnsi="Arial" w:cs="Arial"/>
              </w:rPr>
            </w:pPr>
            <w:r>
              <w:rPr>
                <w:rFonts w:ascii="Arial" w:hAnsi="Arial" w:cs="Arial"/>
              </w:rPr>
              <w:t>0.40</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0.40</w:t>
            </w:r>
          </w:p>
        </w:tc>
      </w:tr>
      <w:tr w:rsidR="005946E7" w:rsidRPr="0091442C" w:rsidTr="008045E6">
        <w:tc>
          <w:tcPr>
            <w:tcW w:w="4653" w:type="dxa"/>
          </w:tcPr>
          <w:p w:rsidR="005946E7" w:rsidRPr="0091442C" w:rsidRDefault="005946E7" w:rsidP="008045E6">
            <w:pPr>
              <w:pStyle w:val="NoSpacing"/>
              <w:rPr>
                <w:rFonts w:ascii="Arial" w:hAnsi="Arial" w:cs="Arial"/>
              </w:rPr>
            </w:pPr>
            <w:r w:rsidRPr="0091442C">
              <w:rPr>
                <w:rFonts w:ascii="Arial" w:hAnsi="Arial" w:cs="Arial"/>
              </w:rPr>
              <w:t>Governance</w:t>
            </w:r>
          </w:p>
        </w:tc>
        <w:tc>
          <w:tcPr>
            <w:tcW w:w="990" w:type="dxa"/>
          </w:tcPr>
          <w:p w:rsidR="005946E7" w:rsidRPr="0091442C" w:rsidRDefault="005946E7" w:rsidP="008045E6">
            <w:pPr>
              <w:pStyle w:val="NoSpacing"/>
              <w:jc w:val="center"/>
              <w:rPr>
                <w:rFonts w:ascii="Arial" w:hAnsi="Arial" w:cs="Arial"/>
              </w:rPr>
            </w:pPr>
            <w:r>
              <w:rPr>
                <w:rFonts w:ascii="Arial" w:hAnsi="Arial" w:cs="Arial"/>
              </w:rPr>
              <w:t>0.31</w:t>
            </w:r>
          </w:p>
        </w:tc>
        <w:tc>
          <w:tcPr>
            <w:tcW w:w="990" w:type="dxa"/>
          </w:tcPr>
          <w:p w:rsidR="005946E7" w:rsidRPr="0091442C" w:rsidRDefault="005946E7" w:rsidP="008045E6">
            <w:pPr>
              <w:pStyle w:val="NoSpacing"/>
              <w:jc w:val="center"/>
              <w:rPr>
                <w:rFonts w:ascii="Arial" w:hAnsi="Arial" w:cs="Arial"/>
              </w:rPr>
            </w:pPr>
            <w:r>
              <w:rPr>
                <w:rFonts w:ascii="Arial" w:hAnsi="Arial" w:cs="Arial"/>
              </w:rPr>
              <w:t>0.31</w:t>
            </w:r>
          </w:p>
        </w:tc>
        <w:tc>
          <w:tcPr>
            <w:tcW w:w="990" w:type="dxa"/>
          </w:tcPr>
          <w:p w:rsidR="005946E7" w:rsidRPr="0091442C" w:rsidRDefault="005946E7" w:rsidP="008045E6">
            <w:pPr>
              <w:pStyle w:val="NoSpacing"/>
              <w:jc w:val="center"/>
              <w:rPr>
                <w:rFonts w:ascii="Arial" w:hAnsi="Arial" w:cs="Arial"/>
              </w:rPr>
            </w:pPr>
            <w:r>
              <w:rPr>
                <w:rFonts w:ascii="Arial" w:hAnsi="Arial" w:cs="Arial"/>
              </w:rPr>
              <w:t>0.31</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0.31</w:t>
            </w:r>
          </w:p>
        </w:tc>
      </w:tr>
      <w:tr w:rsidR="005946E7" w:rsidRPr="0091442C" w:rsidTr="008045E6">
        <w:tc>
          <w:tcPr>
            <w:tcW w:w="4653" w:type="dxa"/>
          </w:tcPr>
          <w:p w:rsidR="005946E7" w:rsidRPr="0091442C" w:rsidRDefault="005946E7" w:rsidP="008045E6">
            <w:pPr>
              <w:pStyle w:val="NoSpacing"/>
              <w:rPr>
                <w:rFonts w:ascii="Arial" w:hAnsi="Arial" w:cs="Arial"/>
              </w:rPr>
            </w:pPr>
            <w:r w:rsidRPr="0091442C">
              <w:rPr>
                <w:rFonts w:ascii="Arial" w:hAnsi="Arial" w:cs="Arial"/>
              </w:rPr>
              <w:t>Audit</w:t>
            </w:r>
          </w:p>
        </w:tc>
        <w:tc>
          <w:tcPr>
            <w:tcW w:w="990" w:type="dxa"/>
          </w:tcPr>
          <w:p w:rsidR="005946E7" w:rsidRPr="0091442C" w:rsidRDefault="005946E7" w:rsidP="008045E6">
            <w:pPr>
              <w:pStyle w:val="NoSpacing"/>
              <w:jc w:val="center"/>
              <w:rPr>
                <w:rFonts w:ascii="Arial" w:hAnsi="Arial" w:cs="Arial"/>
              </w:rPr>
            </w:pPr>
            <w:r>
              <w:rPr>
                <w:rFonts w:ascii="Arial" w:hAnsi="Arial" w:cs="Arial"/>
              </w:rPr>
              <w:t>0.14</w:t>
            </w:r>
          </w:p>
        </w:tc>
        <w:tc>
          <w:tcPr>
            <w:tcW w:w="990" w:type="dxa"/>
          </w:tcPr>
          <w:p w:rsidR="005946E7" w:rsidRPr="0091442C" w:rsidRDefault="005946E7" w:rsidP="008045E6">
            <w:pPr>
              <w:pStyle w:val="NoSpacing"/>
              <w:jc w:val="center"/>
              <w:rPr>
                <w:rFonts w:ascii="Arial" w:hAnsi="Arial" w:cs="Arial"/>
              </w:rPr>
            </w:pPr>
            <w:r>
              <w:rPr>
                <w:rFonts w:ascii="Arial" w:hAnsi="Arial" w:cs="Arial"/>
              </w:rPr>
              <w:t>0.14</w:t>
            </w:r>
          </w:p>
        </w:tc>
        <w:tc>
          <w:tcPr>
            <w:tcW w:w="990" w:type="dxa"/>
          </w:tcPr>
          <w:p w:rsidR="005946E7" w:rsidRPr="0091442C" w:rsidRDefault="005946E7" w:rsidP="008045E6">
            <w:pPr>
              <w:pStyle w:val="NoSpacing"/>
              <w:jc w:val="center"/>
              <w:rPr>
                <w:rFonts w:ascii="Arial" w:hAnsi="Arial" w:cs="Arial"/>
              </w:rPr>
            </w:pPr>
            <w:r>
              <w:rPr>
                <w:rFonts w:ascii="Arial" w:hAnsi="Arial" w:cs="Arial"/>
              </w:rPr>
              <w:t>0.14</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0.14</w:t>
            </w:r>
          </w:p>
        </w:tc>
      </w:tr>
      <w:tr w:rsidR="005946E7" w:rsidRPr="0091442C" w:rsidTr="00095742">
        <w:tc>
          <w:tcPr>
            <w:tcW w:w="4653" w:type="dxa"/>
            <w:shd w:val="clear" w:color="auto" w:fill="FBE4D5" w:themeFill="accent2" w:themeFillTint="33"/>
          </w:tcPr>
          <w:p w:rsidR="005946E7" w:rsidRPr="0091442C" w:rsidRDefault="005946E7" w:rsidP="008045E6">
            <w:pPr>
              <w:pStyle w:val="NoSpacing"/>
              <w:rPr>
                <w:rFonts w:ascii="Arial" w:hAnsi="Arial" w:cs="Arial"/>
                <w:b/>
              </w:rPr>
            </w:pPr>
            <w:r w:rsidRPr="0091442C">
              <w:rPr>
                <w:rFonts w:ascii="Arial" w:hAnsi="Arial" w:cs="Arial"/>
                <w:b/>
              </w:rPr>
              <w:t>Estimated</w:t>
            </w:r>
            <w:r>
              <w:rPr>
                <w:rFonts w:ascii="Arial" w:hAnsi="Arial" w:cs="Arial"/>
                <w:b/>
              </w:rPr>
              <w:t xml:space="preserve"> yearly savings </w:t>
            </w:r>
          </w:p>
        </w:tc>
        <w:tc>
          <w:tcPr>
            <w:tcW w:w="99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$4.08m</w:t>
            </w:r>
          </w:p>
        </w:tc>
        <w:tc>
          <w:tcPr>
            <w:tcW w:w="99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$5.31m</w:t>
            </w:r>
          </w:p>
        </w:tc>
        <w:tc>
          <w:tcPr>
            <w:tcW w:w="99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$5.57m</w:t>
            </w:r>
          </w:p>
        </w:tc>
        <w:tc>
          <w:tcPr>
            <w:tcW w:w="1170" w:type="dxa"/>
            <w:shd w:val="clear" w:color="auto" w:fill="FBE4D5" w:themeFill="accent2" w:themeFillTint="33"/>
          </w:tcPr>
          <w:p w:rsidR="005946E7" w:rsidRPr="0091442C" w:rsidRDefault="005946E7" w:rsidP="008045E6">
            <w:pPr>
              <w:pStyle w:val="NoSpacing"/>
              <w:jc w:val="center"/>
              <w:rPr>
                <w:rFonts w:ascii="Arial" w:hAnsi="Arial" w:cs="Arial"/>
                <w:b/>
              </w:rPr>
            </w:pPr>
            <w:r w:rsidRPr="0091442C">
              <w:rPr>
                <w:rFonts w:ascii="Arial" w:hAnsi="Arial" w:cs="Arial"/>
                <w:b/>
              </w:rPr>
              <w:t>$5.57m</w:t>
            </w:r>
          </w:p>
        </w:tc>
      </w:tr>
    </w:tbl>
    <w:p w:rsidR="005946E7" w:rsidRDefault="005946E7" w:rsidP="005946E7">
      <w:pPr>
        <w:pStyle w:val="NoSpacing"/>
        <w:rPr>
          <w:rFonts w:ascii="Arial" w:hAnsi="Arial" w:cs="Arial"/>
          <w:b/>
          <w:i/>
        </w:rPr>
      </w:pPr>
    </w:p>
    <w:p w:rsidR="005946E7" w:rsidRDefault="005946E7" w:rsidP="005946E7">
      <w:pPr>
        <w:pStyle w:val="NoSpacing"/>
        <w:rPr>
          <w:rFonts w:ascii="Arial" w:hAnsi="Arial" w:cs="Arial"/>
          <w:b/>
          <w:i/>
        </w:rPr>
      </w:pPr>
    </w:p>
    <w:p w:rsidR="002B7948" w:rsidRDefault="002B7948" w:rsidP="005946E7">
      <w:pPr>
        <w:pStyle w:val="NoSpacing"/>
        <w:rPr>
          <w:rFonts w:ascii="Arial" w:hAnsi="Arial" w:cs="Arial"/>
          <w:b/>
          <w:i/>
        </w:rPr>
      </w:pPr>
    </w:p>
    <w:p w:rsidR="002B7948" w:rsidRDefault="002B7948" w:rsidP="005946E7">
      <w:pPr>
        <w:pStyle w:val="NoSpacing"/>
        <w:rPr>
          <w:rFonts w:ascii="Arial" w:hAnsi="Arial" w:cs="Arial"/>
          <w:b/>
          <w:i/>
        </w:rPr>
      </w:pPr>
    </w:p>
    <w:p w:rsidR="002B7948" w:rsidRDefault="002B7948" w:rsidP="005946E7">
      <w:pPr>
        <w:pStyle w:val="NoSpacing"/>
        <w:rPr>
          <w:rFonts w:ascii="Arial" w:hAnsi="Arial" w:cs="Arial"/>
          <w:b/>
          <w:i/>
        </w:rPr>
      </w:pPr>
    </w:p>
    <w:p w:rsidR="002B7948" w:rsidRDefault="002B7948" w:rsidP="005946E7">
      <w:pPr>
        <w:pStyle w:val="NoSpacing"/>
        <w:rPr>
          <w:rFonts w:ascii="Arial" w:hAnsi="Arial" w:cs="Arial"/>
          <w:b/>
          <w:i/>
        </w:rPr>
      </w:pPr>
    </w:p>
    <w:p w:rsidR="002B7948" w:rsidRDefault="002B7948" w:rsidP="005946E7">
      <w:pPr>
        <w:pStyle w:val="NoSpacing"/>
        <w:rPr>
          <w:rFonts w:ascii="Arial" w:hAnsi="Arial" w:cs="Arial"/>
          <w:b/>
          <w:i/>
        </w:rPr>
      </w:pPr>
    </w:p>
    <w:p w:rsidR="0065222E" w:rsidRDefault="0065222E" w:rsidP="005946E7">
      <w:pPr>
        <w:pStyle w:val="NoSpacing"/>
        <w:rPr>
          <w:rFonts w:ascii="Arial" w:hAnsi="Arial" w:cs="Arial"/>
          <w:b/>
          <w:i/>
        </w:rPr>
      </w:pPr>
    </w:p>
    <w:p w:rsidR="0065222E" w:rsidRDefault="0065222E" w:rsidP="005946E7">
      <w:pPr>
        <w:pStyle w:val="NoSpacing"/>
        <w:rPr>
          <w:rFonts w:ascii="Arial" w:hAnsi="Arial" w:cs="Arial"/>
          <w:b/>
          <w:i/>
        </w:rPr>
      </w:pPr>
    </w:p>
    <w:p w:rsidR="0065222E" w:rsidRDefault="0065222E" w:rsidP="005946E7">
      <w:pPr>
        <w:pStyle w:val="NoSpacing"/>
        <w:rPr>
          <w:rFonts w:ascii="Arial" w:hAnsi="Arial" w:cs="Arial"/>
          <w:b/>
          <w:i/>
        </w:rPr>
      </w:pPr>
    </w:p>
    <w:p w:rsidR="0065222E" w:rsidRDefault="0065222E" w:rsidP="005946E7">
      <w:pPr>
        <w:pStyle w:val="NoSpacing"/>
        <w:rPr>
          <w:rFonts w:ascii="Arial" w:hAnsi="Arial" w:cs="Arial"/>
          <w:b/>
          <w:i/>
        </w:rPr>
      </w:pPr>
    </w:p>
    <w:p w:rsidR="0065222E" w:rsidRDefault="0065222E" w:rsidP="005946E7">
      <w:pPr>
        <w:pStyle w:val="NoSpacing"/>
        <w:rPr>
          <w:rFonts w:ascii="Arial" w:hAnsi="Arial" w:cs="Arial"/>
          <w:b/>
          <w:i/>
        </w:rPr>
      </w:pPr>
    </w:p>
    <w:p w:rsidR="0065222E" w:rsidRDefault="0065222E" w:rsidP="005946E7">
      <w:pPr>
        <w:pStyle w:val="NoSpacing"/>
        <w:rPr>
          <w:rFonts w:ascii="Arial" w:hAnsi="Arial" w:cs="Arial"/>
          <w:b/>
          <w:i/>
        </w:rPr>
      </w:pPr>
    </w:p>
    <w:p w:rsidR="002B7948" w:rsidRDefault="002B7948" w:rsidP="005946E7">
      <w:pPr>
        <w:pStyle w:val="NoSpacing"/>
        <w:rPr>
          <w:rFonts w:ascii="Arial" w:hAnsi="Arial" w:cs="Arial"/>
          <w:b/>
          <w:i/>
        </w:rPr>
      </w:pPr>
    </w:p>
    <w:p w:rsidR="002B7948" w:rsidRDefault="002B7948" w:rsidP="005946E7">
      <w:pPr>
        <w:pStyle w:val="NoSpacing"/>
        <w:rPr>
          <w:rFonts w:ascii="Arial" w:hAnsi="Arial" w:cs="Arial"/>
          <w:b/>
          <w:i/>
        </w:rPr>
      </w:pPr>
    </w:p>
    <w:p w:rsidR="005946E7" w:rsidRPr="00E035B1" w:rsidRDefault="00095742" w:rsidP="005946E7">
      <w:pPr>
        <w:pStyle w:val="NoSpacing"/>
        <w:rPr>
          <w:rFonts w:ascii="Arial" w:hAnsi="Arial" w:cs="Arial"/>
          <w:i/>
        </w:rPr>
      </w:pPr>
      <w:r>
        <w:rPr>
          <w:rFonts w:ascii="Arial" w:hAnsi="Arial" w:cs="Arial"/>
          <w:b/>
          <w:i/>
        </w:rPr>
        <w:t xml:space="preserve">Option 2.3  </w:t>
      </w:r>
      <w:r>
        <w:rPr>
          <w:rFonts w:ascii="Arial" w:hAnsi="Arial" w:cs="Arial"/>
          <w:i/>
        </w:rPr>
        <w:t xml:space="preserve">  </w:t>
      </w:r>
      <w:r w:rsidR="005946E7">
        <w:rPr>
          <w:rFonts w:ascii="Arial" w:hAnsi="Arial" w:cs="Arial"/>
          <w:i/>
        </w:rPr>
        <w:t xml:space="preserve">One Western and North Wellington Territorial Authority (Wellington and Porirua City, and Kapiti District </w:t>
      </w:r>
      <w:r>
        <w:rPr>
          <w:rFonts w:ascii="Arial" w:hAnsi="Arial" w:cs="Arial"/>
          <w:i/>
        </w:rPr>
        <w:t>Councils into one</w:t>
      </w:r>
      <w:r w:rsidR="005946E7" w:rsidRPr="00E035B1">
        <w:rPr>
          <w:rFonts w:ascii="Arial" w:hAnsi="Arial" w:cs="Arial"/>
          <w:i/>
        </w:rPr>
        <w:t xml:space="preserve"> Council)</w:t>
      </w:r>
    </w:p>
    <w:p w:rsidR="005946E7" w:rsidRDefault="002B7948" w:rsidP="005946E7">
      <w:pPr>
        <w:pStyle w:val="NoSpacing"/>
        <w:rPr>
          <w:rFonts w:ascii="Arial" w:hAnsi="Arial" w:cs="Arial"/>
        </w:rPr>
      </w:pPr>
      <w:r>
        <w:rPr>
          <w:rFonts w:ascii="Arial" w:hAnsi="Arial" w:cs="Arial"/>
        </w:rPr>
        <w:t xml:space="preserve">           </w:t>
      </w:r>
    </w:p>
    <w:p w:rsidR="002B7948" w:rsidRDefault="002B7948" w:rsidP="005946E7">
      <w:pPr>
        <w:pStyle w:val="NoSpacing"/>
        <w:rPr>
          <w:rFonts w:ascii="Arial" w:hAnsi="Arial" w:cs="Arial"/>
          <w:i/>
        </w:rPr>
      </w:pPr>
      <w:r>
        <w:rPr>
          <w:rFonts w:ascii="Arial" w:hAnsi="Arial" w:cs="Arial"/>
        </w:rPr>
        <w:t xml:space="preserve">           </w:t>
      </w:r>
      <w:r>
        <w:rPr>
          <w:rFonts w:ascii="Arial" w:hAnsi="Arial" w:cs="Arial"/>
          <w:i/>
        </w:rPr>
        <w:t>Table 8</w:t>
      </w:r>
      <w:r w:rsidRPr="002B7948">
        <w:rPr>
          <w:rFonts w:ascii="Arial" w:hAnsi="Arial" w:cs="Arial"/>
          <w:i/>
        </w:rPr>
        <w:t xml:space="preserve">  </w:t>
      </w:r>
      <w:r>
        <w:rPr>
          <w:rFonts w:ascii="Arial" w:hAnsi="Arial" w:cs="Arial"/>
          <w:i/>
        </w:rPr>
        <w:t xml:space="preserve"> </w:t>
      </w:r>
      <w:r w:rsidRPr="002B7948">
        <w:rPr>
          <w:rFonts w:ascii="Arial" w:hAnsi="Arial" w:cs="Arial"/>
          <w:i/>
        </w:rPr>
        <w:t>Option</w:t>
      </w:r>
      <w:r>
        <w:rPr>
          <w:rFonts w:ascii="Arial" w:hAnsi="Arial" w:cs="Arial"/>
          <w:i/>
        </w:rPr>
        <w:t xml:space="preserve"> 2.3</w:t>
      </w:r>
      <w:r w:rsidRPr="002B7948">
        <w:rPr>
          <w:rFonts w:ascii="Arial" w:hAnsi="Arial" w:cs="Arial"/>
          <w:i/>
        </w:rPr>
        <w:t xml:space="preserve"> ; </w:t>
      </w:r>
      <w:r>
        <w:rPr>
          <w:rFonts w:ascii="Arial" w:hAnsi="Arial" w:cs="Arial"/>
          <w:i/>
        </w:rPr>
        <w:t>One Western and North Wellington</w:t>
      </w:r>
      <w:r w:rsidRPr="002B7948">
        <w:rPr>
          <w:rFonts w:ascii="Arial" w:hAnsi="Arial" w:cs="Arial"/>
          <w:i/>
        </w:rPr>
        <w:t xml:space="preserve"> </w:t>
      </w:r>
      <w:r w:rsidR="0065222E">
        <w:rPr>
          <w:rFonts w:ascii="Arial" w:hAnsi="Arial" w:cs="Arial"/>
          <w:i/>
        </w:rPr>
        <w:t xml:space="preserve">potential </w:t>
      </w:r>
      <w:r w:rsidRPr="002B7948">
        <w:rPr>
          <w:rFonts w:ascii="Arial" w:hAnsi="Arial" w:cs="Arial"/>
          <w:i/>
        </w:rPr>
        <w:t>cost  savings</w:t>
      </w:r>
    </w:p>
    <w:p w:rsidR="002B7948" w:rsidRPr="00E035B1" w:rsidRDefault="002B7948" w:rsidP="005946E7">
      <w:pPr>
        <w:pStyle w:val="NoSpacing"/>
        <w:rPr>
          <w:rFonts w:ascii="Arial" w:hAnsi="Arial" w:cs="Arial"/>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3"/>
        <w:gridCol w:w="1260"/>
        <w:gridCol w:w="1170"/>
        <w:gridCol w:w="1170"/>
        <w:gridCol w:w="1170"/>
      </w:tblGrid>
      <w:tr w:rsidR="005946E7" w:rsidRPr="0091442C" w:rsidTr="00095742">
        <w:tc>
          <w:tcPr>
            <w:tcW w:w="4113" w:type="dxa"/>
            <w:shd w:val="clear" w:color="auto" w:fill="F2F2F2" w:themeFill="background1" w:themeFillShade="F2"/>
          </w:tcPr>
          <w:p w:rsidR="005946E7" w:rsidRPr="0091442C" w:rsidRDefault="005946E7" w:rsidP="008045E6">
            <w:pPr>
              <w:pStyle w:val="NoSpacing"/>
              <w:rPr>
                <w:rFonts w:ascii="Arial" w:hAnsi="Arial" w:cs="Arial"/>
                <w:i/>
              </w:rPr>
            </w:pPr>
            <w:r w:rsidRPr="0091442C">
              <w:rPr>
                <w:rFonts w:ascii="Arial" w:hAnsi="Arial" w:cs="Arial"/>
                <w:i/>
              </w:rPr>
              <w:t>Aspect</w:t>
            </w:r>
          </w:p>
        </w:tc>
        <w:tc>
          <w:tcPr>
            <w:tcW w:w="3600" w:type="dxa"/>
            <w:gridSpan w:val="3"/>
            <w:shd w:val="clear" w:color="auto" w:fill="F2F2F2" w:themeFill="background1" w:themeFillShade="F2"/>
          </w:tcPr>
          <w:p w:rsidR="005946E7" w:rsidRDefault="005946E7" w:rsidP="008045E6">
            <w:pPr>
              <w:pStyle w:val="NoSpacing"/>
              <w:jc w:val="center"/>
              <w:rPr>
                <w:rFonts w:ascii="Arial" w:hAnsi="Arial" w:cs="Arial"/>
                <w:i/>
              </w:rPr>
            </w:pPr>
            <w:r>
              <w:rPr>
                <w:rFonts w:ascii="Arial" w:hAnsi="Arial" w:cs="Arial"/>
                <w:i/>
              </w:rPr>
              <w:t>Transition Years</w:t>
            </w:r>
            <w:r w:rsidR="00095742">
              <w:rPr>
                <w:rFonts w:ascii="Arial" w:hAnsi="Arial" w:cs="Arial"/>
                <w:i/>
              </w:rPr>
              <w:t xml:space="preserve"> ($m)</w:t>
            </w:r>
          </w:p>
          <w:p w:rsidR="005946E7" w:rsidRDefault="005946E7" w:rsidP="008045E6">
            <w:pPr>
              <w:pStyle w:val="NoSpacing"/>
              <w:rPr>
                <w:rFonts w:ascii="Arial" w:hAnsi="Arial" w:cs="Arial"/>
                <w:i/>
              </w:rPr>
            </w:pPr>
          </w:p>
          <w:p w:rsidR="005946E7" w:rsidRDefault="005946E7" w:rsidP="008045E6">
            <w:pPr>
              <w:pStyle w:val="NoSpacing"/>
              <w:rPr>
                <w:rFonts w:ascii="Arial" w:hAnsi="Arial" w:cs="Arial"/>
                <w:i/>
              </w:rPr>
            </w:pPr>
            <w:r>
              <w:rPr>
                <w:rFonts w:ascii="Arial" w:hAnsi="Arial" w:cs="Arial"/>
                <w:i/>
              </w:rPr>
              <w:t xml:space="preserve">    Yr 1              Yr 2         Yr 3</w:t>
            </w:r>
          </w:p>
        </w:tc>
        <w:tc>
          <w:tcPr>
            <w:tcW w:w="1170" w:type="dxa"/>
            <w:shd w:val="clear" w:color="auto" w:fill="F2F2F2" w:themeFill="background1" w:themeFillShade="F2"/>
          </w:tcPr>
          <w:p w:rsidR="005946E7" w:rsidRPr="0091442C" w:rsidRDefault="005946E7" w:rsidP="008045E6">
            <w:pPr>
              <w:pStyle w:val="NoSpacing"/>
              <w:rPr>
                <w:rFonts w:ascii="Arial" w:hAnsi="Arial" w:cs="Arial"/>
                <w:i/>
              </w:rPr>
            </w:pPr>
            <w:r>
              <w:rPr>
                <w:rFonts w:ascii="Arial" w:hAnsi="Arial" w:cs="Arial"/>
                <w:i/>
              </w:rPr>
              <w:t>Year 4 onwards</w:t>
            </w:r>
          </w:p>
          <w:p w:rsidR="005946E7" w:rsidRDefault="00095742" w:rsidP="008045E6">
            <w:pPr>
              <w:pStyle w:val="NoSpacing"/>
              <w:rPr>
                <w:rFonts w:ascii="Arial" w:hAnsi="Arial" w:cs="Arial"/>
                <w:i/>
              </w:rPr>
            </w:pPr>
            <w:r>
              <w:rPr>
                <w:rFonts w:ascii="Arial" w:hAnsi="Arial" w:cs="Arial"/>
                <w:i/>
              </w:rPr>
              <w:t>($m)</w:t>
            </w:r>
          </w:p>
          <w:p w:rsidR="00095742" w:rsidRPr="0091442C" w:rsidRDefault="00095742" w:rsidP="008045E6">
            <w:pPr>
              <w:pStyle w:val="NoSpacing"/>
              <w:rPr>
                <w:rFonts w:ascii="Arial" w:hAnsi="Arial" w:cs="Arial"/>
                <w:i/>
              </w:rPr>
            </w:pPr>
          </w:p>
        </w:tc>
      </w:tr>
      <w:tr w:rsidR="005946E7" w:rsidRPr="0091442C" w:rsidTr="008045E6">
        <w:tc>
          <w:tcPr>
            <w:tcW w:w="4113" w:type="dxa"/>
          </w:tcPr>
          <w:p w:rsidR="005946E7" w:rsidRPr="0091442C" w:rsidRDefault="005946E7" w:rsidP="008045E6">
            <w:pPr>
              <w:pStyle w:val="NoSpacing"/>
              <w:rPr>
                <w:rFonts w:ascii="Arial" w:hAnsi="Arial" w:cs="Arial"/>
              </w:rPr>
            </w:pPr>
            <w:r w:rsidRPr="0091442C">
              <w:rPr>
                <w:rFonts w:ascii="Arial" w:hAnsi="Arial" w:cs="Arial"/>
              </w:rPr>
              <w:t>Activities - Opex</w:t>
            </w:r>
          </w:p>
        </w:tc>
        <w:tc>
          <w:tcPr>
            <w:tcW w:w="1260" w:type="dxa"/>
          </w:tcPr>
          <w:p w:rsidR="005946E7" w:rsidRPr="0091442C" w:rsidRDefault="005946E7" w:rsidP="008045E6">
            <w:pPr>
              <w:pStyle w:val="NoSpacing"/>
              <w:jc w:val="center"/>
              <w:rPr>
                <w:rFonts w:ascii="Arial" w:hAnsi="Arial" w:cs="Arial"/>
              </w:rPr>
            </w:pPr>
            <w:r>
              <w:rPr>
                <w:rFonts w:ascii="Arial" w:hAnsi="Arial" w:cs="Arial"/>
              </w:rPr>
              <w:t>2.96</w:t>
            </w:r>
          </w:p>
        </w:tc>
        <w:tc>
          <w:tcPr>
            <w:tcW w:w="1170" w:type="dxa"/>
          </w:tcPr>
          <w:p w:rsidR="005946E7" w:rsidRPr="0091442C" w:rsidRDefault="005946E7" w:rsidP="008045E6">
            <w:pPr>
              <w:pStyle w:val="NoSpacing"/>
              <w:jc w:val="center"/>
              <w:rPr>
                <w:rFonts w:ascii="Arial" w:hAnsi="Arial" w:cs="Arial"/>
              </w:rPr>
            </w:pPr>
            <w:r>
              <w:rPr>
                <w:rFonts w:ascii="Arial" w:hAnsi="Arial" w:cs="Arial"/>
              </w:rPr>
              <w:t>3.70</w:t>
            </w:r>
          </w:p>
        </w:tc>
        <w:tc>
          <w:tcPr>
            <w:tcW w:w="1170" w:type="dxa"/>
          </w:tcPr>
          <w:p w:rsidR="005946E7" w:rsidRPr="0091442C" w:rsidRDefault="005946E7" w:rsidP="008045E6">
            <w:pPr>
              <w:pStyle w:val="NoSpacing"/>
              <w:jc w:val="center"/>
              <w:rPr>
                <w:rFonts w:ascii="Arial" w:hAnsi="Arial" w:cs="Arial"/>
              </w:rPr>
            </w:pPr>
            <w:r>
              <w:rPr>
                <w:rFonts w:ascii="Arial" w:hAnsi="Arial" w:cs="Arial"/>
              </w:rPr>
              <w:t>3.70</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3.70</w:t>
            </w:r>
          </w:p>
        </w:tc>
      </w:tr>
      <w:tr w:rsidR="005946E7" w:rsidRPr="0091442C" w:rsidTr="008045E6">
        <w:trPr>
          <w:trHeight w:val="323"/>
        </w:trPr>
        <w:tc>
          <w:tcPr>
            <w:tcW w:w="4113" w:type="dxa"/>
          </w:tcPr>
          <w:p w:rsidR="005946E7" w:rsidRPr="0091442C" w:rsidRDefault="005946E7" w:rsidP="008045E6">
            <w:pPr>
              <w:pStyle w:val="NoSpacing"/>
              <w:rPr>
                <w:rFonts w:ascii="Arial" w:hAnsi="Arial" w:cs="Arial"/>
              </w:rPr>
            </w:pPr>
            <w:r w:rsidRPr="0091442C">
              <w:rPr>
                <w:rFonts w:ascii="Arial" w:hAnsi="Arial" w:cs="Arial"/>
              </w:rPr>
              <w:t>Activities - Capex</w:t>
            </w:r>
          </w:p>
        </w:tc>
        <w:tc>
          <w:tcPr>
            <w:tcW w:w="1260" w:type="dxa"/>
          </w:tcPr>
          <w:p w:rsidR="005946E7" w:rsidRPr="0091442C" w:rsidRDefault="005946E7" w:rsidP="008045E6">
            <w:pPr>
              <w:pStyle w:val="NoSpacing"/>
              <w:jc w:val="center"/>
              <w:rPr>
                <w:rFonts w:ascii="Arial" w:hAnsi="Arial" w:cs="Arial"/>
              </w:rPr>
            </w:pPr>
            <w:r>
              <w:rPr>
                <w:rFonts w:ascii="Arial" w:hAnsi="Arial" w:cs="Arial"/>
              </w:rPr>
              <w:t>0</w:t>
            </w:r>
          </w:p>
        </w:tc>
        <w:tc>
          <w:tcPr>
            <w:tcW w:w="1170" w:type="dxa"/>
          </w:tcPr>
          <w:p w:rsidR="005946E7" w:rsidRPr="0091442C" w:rsidRDefault="005946E7" w:rsidP="008045E6">
            <w:pPr>
              <w:pStyle w:val="NoSpacing"/>
              <w:jc w:val="center"/>
              <w:rPr>
                <w:rFonts w:ascii="Arial" w:hAnsi="Arial" w:cs="Arial"/>
              </w:rPr>
            </w:pPr>
            <w:r>
              <w:rPr>
                <w:rFonts w:ascii="Arial" w:hAnsi="Arial" w:cs="Arial"/>
              </w:rPr>
              <w:t>0.65</w:t>
            </w:r>
          </w:p>
        </w:tc>
        <w:tc>
          <w:tcPr>
            <w:tcW w:w="1170" w:type="dxa"/>
          </w:tcPr>
          <w:p w:rsidR="005946E7" w:rsidRPr="0091442C" w:rsidRDefault="005946E7" w:rsidP="008045E6">
            <w:pPr>
              <w:pStyle w:val="NoSpacing"/>
              <w:jc w:val="center"/>
              <w:rPr>
                <w:rFonts w:ascii="Arial" w:hAnsi="Arial" w:cs="Arial"/>
              </w:rPr>
            </w:pPr>
            <w:r>
              <w:rPr>
                <w:rFonts w:ascii="Arial" w:hAnsi="Arial" w:cs="Arial"/>
              </w:rPr>
              <w:t>1.30</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1.30</w:t>
            </w:r>
          </w:p>
        </w:tc>
      </w:tr>
      <w:tr w:rsidR="005946E7" w:rsidRPr="0091442C" w:rsidTr="008045E6">
        <w:tc>
          <w:tcPr>
            <w:tcW w:w="4113" w:type="dxa"/>
          </w:tcPr>
          <w:p w:rsidR="005946E7" w:rsidRPr="0091442C" w:rsidRDefault="005946E7" w:rsidP="008045E6">
            <w:pPr>
              <w:pStyle w:val="NoSpacing"/>
              <w:rPr>
                <w:rFonts w:ascii="Arial" w:hAnsi="Arial" w:cs="Arial"/>
              </w:rPr>
            </w:pPr>
            <w:r w:rsidRPr="0091442C">
              <w:rPr>
                <w:rFonts w:ascii="Arial" w:hAnsi="Arial" w:cs="Arial"/>
              </w:rPr>
              <w:t>Corporate and internal charges – personnel costs</w:t>
            </w:r>
          </w:p>
        </w:tc>
        <w:tc>
          <w:tcPr>
            <w:tcW w:w="1260" w:type="dxa"/>
          </w:tcPr>
          <w:p w:rsidR="005946E7" w:rsidRPr="0091442C" w:rsidRDefault="005946E7" w:rsidP="008045E6">
            <w:pPr>
              <w:pStyle w:val="NoSpacing"/>
              <w:jc w:val="center"/>
              <w:rPr>
                <w:rFonts w:ascii="Arial" w:hAnsi="Arial" w:cs="Arial"/>
              </w:rPr>
            </w:pPr>
            <w:r>
              <w:rPr>
                <w:rFonts w:ascii="Arial" w:hAnsi="Arial" w:cs="Arial"/>
              </w:rPr>
              <w:t>12.72</w:t>
            </w:r>
          </w:p>
        </w:tc>
        <w:tc>
          <w:tcPr>
            <w:tcW w:w="1170" w:type="dxa"/>
          </w:tcPr>
          <w:p w:rsidR="005946E7" w:rsidRPr="0091442C" w:rsidRDefault="005946E7" w:rsidP="008045E6">
            <w:pPr>
              <w:pStyle w:val="NoSpacing"/>
              <w:jc w:val="center"/>
              <w:rPr>
                <w:rFonts w:ascii="Arial" w:hAnsi="Arial" w:cs="Arial"/>
              </w:rPr>
            </w:pPr>
            <w:r>
              <w:rPr>
                <w:rFonts w:ascii="Arial" w:hAnsi="Arial" w:cs="Arial"/>
              </w:rPr>
              <w:t>15.90</w:t>
            </w:r>
          </w:p>
        </w:tc>
        <w:tc>
          <w:tcPr>
            <w:tcW w:w="1170" w:type="dxa"/>
          </w:tcPr>
          <w:p w:rsidR="005946E7" w:rsidRPr="0091442C" w:rsidRDefault="005946E7" w:rsidP="008045E6">
            <w:pPr>
              <w:pStyle w:val="NoSpacing"/>
              <w:jc w:val="center"/>
              <w:rPr>
                <w:rFonts w:ascii="Arial" w:hAnsi="Arial" w:cs="Arial"/>
              </w:rPr>
            </w:pPr>
            <w:r>
              <w:rPr>
                <w:rFonts w:ascii="Arial" w:hAnsi="Arial" w:cs="Arial"/>
              </w:rPr>
              <w:t>15.90</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15.90</w:t>
            </w:r>
          </w:p>
        </w:tc>
      </w:tr>
      <w:tr w:rsidR="005946E7" w:rsidRPr="0091442C" w:rsidTr="008045E6">
        <w:tc>
          <w:tcPr>
            <w:tcW w:w="4113" w:type="dxa"/>
          </w:tcPr>
          <w:p w:rsidR="005946E7" w:rsidRPr="0091442C" w:rsidRDefault="005946E7" w:rsidP="008045E6">
            <w:pPr>
              <w:pStyle w:val="NoSpacing"/>
              <w:rPr>
                <w:rFonts w:ascii="Arial" w:hAnsi="Arial" w:cs="Arial"/>
              </w:rPr>
            </w:pPr>
            <w:r w:rsidRPr="0091442C">
              <w:rPr>
                <w:rFonts w:ascii="Arial" w:hAnsi="Arial" w:cs="Arial"/>
              </w:rPr>
              <w:t>Corporate and internal charges – other costs</w:t>
            </w:r>
          </w:p>
        </w:tc>
        <w:tc>
          <w:tcPr>
            <w:tcW w:w="1260" w:type="dxa"/>
          </w:tcPr>
          <w:p w:rsidR="005946E7" w:rsidRPr="0091442C" w:rsidRDefault="005946E7" w:rsidP="008045E6">
            <w:pPr>
              <w:pStyle w:val="NoSpacing"/>
              <w:jc w:val="center"/>
              <w:rPr>
                <w:rFonts w:ascii="Arial" w:hAnsi="Arial" w:cs="Arial"/>
              </w:rPr>
            </w:pPr>
            <w:r>
              <w:rPr>
                <w:rFonts w:ascii="Arial" w:hAnsi="Arial" w:cs="Arial"/>
              </w:rPr>
              <w:t>1.88</w:t>
            </w:r>
          </w:p>
        </w:tc>
        <w:tc>
          <w:tcPr>
            <w:tcW w:w="1170" w:type="dxa"/>
          </w:tcPr>
          <w:p w:rsidR="005946E7" w:rsidRPr="0091442C" w:rsidRDefault="005946E7" w:rsidP="008045E6">
            <w:pPr>
              <w:pStyle w:val="NoSpacing"/>
              <w:jc w:val="center"/>
              <w:rPr>
                <w:rFonts w:ascii="Arial" w:hAnsi="Arial" w:cs="Arial"/>
              </w:rPr>
            </w:pPr>
            <w:r>
              <w:rPr>
                <w:rFonts w:ascii="Arial" w:hAnsi="Arial" w:cs="Arial"/>
              </w:rPr>
              <w:t>2.80</w:t>
            </w:r>
          </w:p>
        </w:tc>
        <w:tc>
          <w:tcPr>
            <w:tcW w:w="1170" w:type="dxa"/>
          </w:tcPr>
          <w:p w:rsidR="005946E7" w:rsidRPr="0091442C" w:rsidRDefault="005946E7" w:rsidP="008045E6">
            <w:pPr>
              <w:pStyle w:val="NoSpacing"/>
              <w:jc w:val="center"/>
              <w:rPr>
                <w:rFonts w:ascii="Arial" w:hAnsi="Arial" w:cs="Arial"/>
              </w:rPr>
            </w:pPr>
            <w:r>
              <w:rPr>
                <w:rFonts w:ascii="Arial" w:hAnsi="Arial" w:cs="Arial"/>
              </w:rPr>
              <w:t>2.80</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2.80</w:t>
            </w:r>
          </w:p>
        </w:tc>
      </w:tr>
      <w:tr w:rsidR="005946E7" w:rsidRPr="0091442C" w:rsidTr="008045E6">
        <w:tc>
          <w:tcPr>
            <w:tcW w:w="4113" w:type="dxa"/>
          </w:tcPr>
          <w:p w:rsidR="005946E7" w:rsidRPr="0091442C" w:rsidRDefault="005946E7" w:rsidP="008045E6">
            <w:pPr>
              <w:pStyle w:val="NoSpacing"/>
              <w:rPr>
                <w:rFonts w:ascii="Arial" w:hAnsi="Arial" w:cs="Arial"/>
              </w:rPr>
            </w:pPr>
            <w:r w:rsidRPr="0091442C">
              <w:rPr>
                <w:rFonts w:ascii="Arial" w:hAnsi="Arial" w:cs="Arial"/>
              </w:rPr>
              <w:t>Governance</w:t>
            </w:r>
          </w:p>
        </w:tc>
        <w:tc>
          <w:tcPr>
            <w:tcW w:w="1260" w:type="dxa"/>
          </w:tcPr>
          <w:p w:rsidR="005946E7" w:rsidRPr="0091442C" w:rsidRDefault="005946E7" w:rsidP="008045E6">
            <w:pPr>
              <w:pStyle w:val="NoSpacing"/>
              <w:jc w:val="center"/>
              <w:rPr>
                <w:rFonts w:ascii="Arial" w:hAnsi="Arial" w:cs="Arial"/>
              </w:rPr>
            </w:pPr>
            <w:r>
              <w:rPr>
                <w:rFonts w:ascii="Arial" w:hAnsi="Arial" w:cs="Arial"/>
              </w:rPr>
              <w:t>0.88</w:t>
            </w:r>
          </w:p>
        </w:tc>
        <w:tc>
          <w:tcPr>
            <w:tcW w:w="1170" w:type="dxa"/>
          </w:tcPr>
          <w:p w:rsidR="005946E7" w:rsidRPr="0091442C" w:rsidRDefault="005946E7" w:rsidP="008045E6">
            <w:pPr>
              <w:pStyle w:val="NoSpacing"/>
              <w:jc w:val="center"/>
              <w:rPr>
                <w:rFonts w:ascii="Arial" w:hAnsi="Arial" w:cs="Arial"/>
              </w:rPr>
            </w:pPr>
            <w:r>
              <w:rPr>
                <w:rFonts w:ascii="Arial" w:hAnsi="Arial" w:cs="Arial"/>
              </w:rPr>
              <w:t>0.88</w:t>
            </w:r>
          </w:p>
        </w:tc>
        <w:tc>
          <w:tcPr>
            <w:tcW w:w="1170" w:type="dxa"/>
          </w:tcPr>
          <w:p w:rsidR="005946E7" w:rsidRPr="0091442C" w:rsidRDefault="005946E7" w:rsidP="008045E6">
            <w:pPr>
              <w:pStyle w:val="NoSpacing"/>
              <w:jc w:val="center"/>
              <w:rPr>
                <w:rFonts w:ascii="Arial" w:hAnsi="Arial" w:cs="Arial"/>
              </w:rPr>
            </w:pPr>
            <w:r>
              <w:rPr>
                <w:rFonts w:ascii="Arial" w:hAnsi="Arial" w:cs="Arial"/>
              </w:rPr>
              <w:t>0.88</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0.88</w:t>
            </w:r>
          </w:p>
        </w:tc>
      </w:tr>
      <w:tr w:rsidR="005946E7" w:rsidRPr="0091442C" w:rsidTr="008045E6">
        <w:tc>
          <w:tcPr>
            <w:tcW w:w="4113" w:type="dxa"/>
          </w:tcPr>
          <w:p w:rsidR="005946E7" w:rsidRPr="0091442C" w:rsidRDefault="005946E7" w:rsidP="008045E6">
            <w:pPr>
              <w:pStyle w:val="NoSpacing"/>
              <w:rPr>
                <w:rFonts w:ascii="Arial" w:hAnsi="Arial" w:cs="Arial"/>
              </w:rPr>
            </w:pPr>
            <w:r w:rsidRPr="0091442C">
              <w:rPr>
                <w:rFonts w:ascii="Arial" w:hAnsi="Arial" w:cs="Arial"/>
              </w:rPr>
              <w:t>Audit</w:t>
            </w:r>
          </w:p>
        </w:tc>
        <w:tc>
          <w:tcPr>
            <w:tcW w:w="1260" w:type="dxa"/>
          </w:tcPr>
          <w:p w:rsidR="005946E7" w:rsidRPr="0091442C" w:rsidRDefault="005946E7" w:rsidP="008045E6">
            <w:pPr>
              <w:pStyle w:val="NoSpacing"/>
              <w:jc w:val="center"/>
              <w:rPr>
                <w:rFonts w:ascii="Arial" w:hAnsi="Arial" w:cs="Arial"/>
              </w:rPr>
            </w:pPr>
            <w:r>
              <w:rPr>
                <w:rFonts w:ascii="Arial" w:hAnsi="Arial" w:cs="Arial"/>
              </w:rPr>
              <w:t>0.30</w:t>
            </w:r>
          </w:p>
        </w:tc>
        <w:tc>
          <w:tcPr>
            <w:tcW w:w="1170" w:type="dxa"/>
          </w:tcPr>
          <w:p w:rsidR="005946E7" w:rsidRPr="0091442C" w:rsidRDefault="005946E7" w:rsidP="008045E6">
            <w:pPr>
              <w:pStyle w:val="NoSpacing"/>
              <w:jc w:val="center"/>
              <w:rPr>
                <w:rFonts w:ascii="Arial" w:hAnsi="Arial" w:cs="Arial"/>
              </w:rPr>
            </w:pPr>
            <w:r>
              <w:rPr>
                <w:rFonts w:ascii="Arial" w:hAnsi="Arial" w:cs="Arial"/>
              </w:rPr>
              <w:t>0.30</w:t>
            </w:r>
          </w:p>
        </w:tc>
        <w:tc>
          <w:tcPr>
            <w:tcW w:w="1170" w:type="dxa"/>
          </w:tcPr>
          <w:p w:rsidR="005946E7" w:rsidRPr="0091442C" w:rsidRDefault="005946E7" w:rsidP="008045E6">
            <w:pPr>
              <w:pStyle w:val="NoSpacing"/>
              <w:jc w:val="center"/>
              <w:rPr>
                <w:rFonts w:ascii="Arial" w:hAnsi="Arial" w:cs="Arial"/>
              </w:rPr>
            </w:pPr>
            <w:r>
              <w:rPr>
                <w:rFonts w:ascii="Arial" w:hAnsi="Arial" w:cs="Arial"/>
              </w:rPr>
              <w:t>0.30</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0.30</w:t>
            </w:r>
          </w:p>
        </w:tc>
      </w:tr>
      <w:tr w:rsidR="005946E7" w:rsidRPr="0091442C" w:rsidTr="00095742">
        <w:tc>
          <w:tcPr>
            <w:tcW w:w="4113" w:type="dxa"/>
            <w:shd w:val="clear" w:color="auto" w:fill="FBE4D5" w:themeFill="accent2" w:themeFillTint="33"/>
          </w:tcPr>
          <w:p w:rsidR="005946E7" w:rsidRPr="0091442C" w:rsidRDefault="005946E7" w:rsidP="008045E6">
            <w:pPr>
              <w:pStyle w:val="NoSpacing"/>
              <w:rPr>
                <w:rFonts w:ascii="Arial" w:hAnsi="Arial" w:cs="Arial"/>
                <w:b/>
              </w:rPr>
            </w:pPr>
            <w:r w:rsidRPr="0091442C">
              <w:rPr>
                <w:rFonts w:ascii="Arial" w:hAnsi="Arial" w:cs="Arial"/>
                <w:b/>
              </w:rPr>
              <w:t>Estimated</w:t>
            </w:r>
            <w:r>
              <w:rPr>
                <w:rFonts w:ascii="Arial" w:hAnsi="Arial" w:cs="Arial"/>
                <w:b/>
              </w:rPr>
              <w:t xml:space="preserve"> yearly savings - n</w:t>
            </w:r>
            <w:r w:rsidRPr="0091442C">
              <w:rPr>
                <w:rFonts w:ascii="Arial" w:hAnsi="Arial" w:cs="Arial"/>
                <w:b/>
              </w:rPr>
              <w:t>o local Boards</w:t>
            </w:r>
          </w:p>
        </w:tc>
        <w:tc>
          <w:tcPr>
            <w:tcW w:w="1260" w:type="dxa"/>
            <w:shd w:val="clear" w:color="auto" w:fill="FBE4D5" w:themeFill="accent2" w:themeFillTint="33"/>
          </w:tcPr>
          <w:p w:rsidR="005946E7" w:rsidRPr="0091442C" w:rsidRDefault="005946E7" w:rsidP="008045E6">
            <w:pPr>
              <w:pStyle w:val="NoSpacing"/>
              <w:rPr>
                <w:rFonts w:ascii="Arial" w:hAnsi="Arial" w:cs="Arial"/>
                <w:b/>
              </w:rPr>
            </w:pPr>
            <w:r>
              <w:rPr>
                <w:rFonts w:ascii="Arial" w:hAnsi="Arial" w:cs="Arial"/>
                <w:b/>
              </w:rPr>
              <w:t>$18.74m</w:t>
            </w:r>
          </w:p>
        </w:tc>
        <w:tc>
          <w:tcPr>
            <w:tcW w:w="117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$24.23m</w:t>
            </w:r>
          </w:p>
        </w:tc>
        <w:tc>
          <w:tcPr>
            <w:tcW w:w="117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$24.88m</w:t>
            </w:r>
          </w:p>
        </w:tc>
        <w:tc>
          <w:tcPr>
            <w:tcW w:w="1170" w:type="dxa"/>
            <w:shd w:val="clear" w:color="auto" w:fill="FBE4D5" w:themeFill="accent2" w:themeFillTint="33"/>
          </w:tcPr>
          <w:p w:rsidR="005946E7" w:rsidRPr="0091442C" w:rsidRDefault="005946E7" w:rsidP="008045E6">
            <w:pPr>
              <w:pStyle w:val="NoSpacing"/>
              <w:jc w:val="center"/>
              <w:rPr>
                <w:rFonts w:ascii="Arial" w:hAnsi="Arial" w:cs="Arial"/>
                <w:b/>
              </w:rPr>
            </w:pPr>
            <w:r w:rsidRPr="0091442C">
              <w:rPr>
                <w:rFonts w:ascii="Arial" w:hAnsi="Arial" w:cs="Arial"/>
                <w:b/>
              </w:rPr>
              <w:t>$24.88m</w:t>
            </w:r>
          </w:p>
        </w:tc>
      </w:tr>
      <w:tr w:rsidR="005946E7" w:rsidRPr="0091442C" w:rsidTr="008045E6">
        <w:tc>
          <w:tcPr>
            <w:tcW w:w="4113" w:type="dxa"/>
          </w:tcPr>
          <w:p w:rsidR="005946E7" w:rsidRPr="0091442C" w:rsidRDefault="005946E7" w:rsidP="008045E6">
            <w:pPr>
              <w:pStyle w:val="NoSpacing"/>
              <w:rPr>
                <w:rFonts w:ascii="Arial" w:hAnsi="Arial" w:cs="Arial"/>
              </w:rPr>
            </w:pPr>
            <w:r w:rsidRPr="0091442C">
              <w:rPr>
                <w:rFonts w:ascii="Arial" w:hAnsi="Arial" w:cs="Arial"/>
              </w:rPr>
              <w:t>Additional cost – 5 local/community boards</w:t>
            </w:r>
          </w:p>
        </w:tc>
        <w:tc>
          <w:tcPr>
            <w:tcW w:w="1260" w:type="dxa"/>
          </w:tcPr>
          <w:p w:rsidR="005946E7" w:rsidRPr="0091442C" w:rsidRDefault="005946E7" w:rsidP="008045E6">
            <w:pPr>
              <w:pStyle w:val="NoSpacing"/>
              <w:jc w:val="center"/>
              <w:rPr>
                <w:rFonts w:ascii="Arial" w:hAnsi="Arial" w:cs="Arial"/>
              </w:rPr>
            </w:pPr>
            <w:r>
              <w:rPr>
                <w:rFonts w:ascii="Arial" w:hAnsi="Arial" w:cs="Arial"/>
              </w:rPr>
              <w:t>(4.2)</w:t>
            </w:r>
          </w:p>
        </w:tc>
        <w:tc>
          <w:tcPr>
            <w:tcW w:w="1170" w:type="dxa"/>
          </w:tcPr>
          <w:p w:rsidR="005946E7" w:rsidRPr="0091442C" w:rsidRDefault="005946E7" w:rsidP="008045E6">
            <w:pPr>
              <w:pStyle w:val="NoSpacing"/>
              <w:jc w:val="center"/>
              <w:rPr>
                <w:rFonts w:ascii="Arial" w:hAnsi="Arial" w:cs="Arial"/>
              </w:rPr>
            </w:pPr>
            <w:r>
              <w:rPr>
                <w:rFonts w:ascii="Arial" w:hAnsi="Arial" w:cs="Arial"/>
              </w:rPr>
              <w:t>(6.25)</w:t>
            </w:r>
          </w:p>
        </w:tc>
        <w:tc>
          <w:tcPr>
            <w:tcW w:w="1170" w:type="dxa"/>
          </w:tcPr>
          <w:p w:rsidR="005946E7" w:rsidRPr="0091442C" w:rsidRDefault="005946E7" w:rsidP="008045E6">
            <w:pPr>
              <w:pStyle w:val="NoSpacing"/>
              <w:jc w:val="center"/>
              <w:rPr>
                <w:rFonts w:ascii="Arial" w:hAnsi="Arial" w:cs="Arial"/>
              </w:rPr>
            </w:pPr>
            <w:r>
              <w:rPr>
                <w:rFonts w:ascii="Arial" w:hAnsi="Arial" w:cs="Arial"/>
              </w:rPr>
              <w:t>(6.25)</w:t>
            </w:r>
          </w:p>
        </w:tc>
        <w:tc>
          <w:tcPr>
            <w:tcW w:w="1170" w:type="dxa"/>
          </w:tcPr>
          <w:p w:rsidR="005946E7" w:rsidRPr="0091442C" w:rsidRDefault="005946E7" w:rsidP="008045E6">
            <w:pPr>
              <w:pStyle w:val="NoSpacing"/>
              <w:jc w:val="center"/>
              <w:rPr>
                <w:rFonts w:ascii="Arial" w:hAnsi="Arial" w:cs="Arial"/>
              </w:rPr>
            </w:pPr>
            <w:r w:rsidRPr="0091442C">
              <w:rPr>
                <w:rFonts w:ascii="Arial" w:hAnsi="Arial" w:cs="Arial"/>
              </w:rPr>
              <w:t>(6.25)</w:t>
            </w:r>
          </w:p>
        </w:tc>
      </w:tr>
      <w:tr w:rsidR="005946E7" w:rsidRPr="0091442C" w:rsidTr="00095742">
        <w:tc>
          <w:tcPr>
            <w:tcW w:w="4113" w:type="dxa"/>
            <w:shd w:val="clear" w:color="auto" w:fill="FBE4D5" w:themeFill="accent2" w:themeFillTint="33"/>
          </w:tcPr>
          <w:p w:rsidR="005946E7" w:rsidRPr="0091442C" w:rsidRDefault="005946E7" w:rsidP="008045E6">
            <w:pPr>
              <w:pStyle w:val="NoSpacing"/>
              <w:rPr>
                <w:rFonts w:ascii="Arial" w:hAnsi="Arial" w:cs="Arial"/>
                <w:b/>
              </w:rPr>
            </w:pPr>
            <w:r w:rsidRPr="0091442C">
              <w:rPr>
                <w:rFonts w:ascii="Arial" w:hAnsi="Arial" w:cs="Arial"/>
                <w:b/>
              </w:rPr>
              <w:t>Estimated</w:t>
            </w:r>
            <w:r>
              <w:rPr>
                <w:rFonts w:ascii="Arial" w:hAnsi="Arial" w:cs="Arial"/>
                <w:b/>
              </w:rPr>
              <w:t xml:space="preserve"> yearly savings</w:t>
            </w:r>
            <w:r w:rsidRPr="0091442C">
              <w:rPr>
                <w:rFonts w:ascii="Arial" w:hAnsi="Arial" w:cs="Arial"/>
                <w:b/>
              </w:rPr>
              <w:t xml:space="preserve"> with local Boards</w:t>
            </w:r>
          </w:p>
        </w:tc>
        <w:tc>
          <w:tcPr>
            <w:tcW w:w="126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$14.54m</w:t>
            </w:r>
          </w:p>
        </w:tc>
        <w:tc>
          <w:tcPr>
            <w:tcW w:w="117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$17.98m</w:t>
            </w:r>
          </w:p>
        </w:tc>
        <w:tc>
          <w:tcPr>
            <w:tcW w:w="1170" w:type="dxa"/>
            <w:shd w:val="clear" w:color="auto" w:fill="FBE4D5" w:themeFill="accent2" w:themeFillTint="33"/>
          </w:tcPr>
          <w:p w:rsidR="005946E7" w:rsidRPr="0091442C" w:rsidRDefault="005946E7" w:rsidP="008045E6">
            <w:pPr>
              <w:pStyle w:val="NoSpacing"/>
              <w:jc w:val="center"/>
              <w:rPr>
                <w:rFonts w:ascii="Arial" w:hAnsi="Arial" w:cs="Arial"/>
                <w:b/>
              </w:rPr>
            </w:pPr>
            <w:r>
              <w:rPr>
                <w:rFonts w:ascii="Arial" w:hAnsi="Arial" w:cs="Arial"/>
                <w:b/>
              </w:rPr>
              <w:t>$18.63m</w:t>
            </w:r>
          </w:p>
        </w:tc>
        <w:tc>
          <w:tcPr>
            <w:tcW w:w="1170" w:type="dxa"/>
            <w:shd w:val="clear" w:color="auto" w:fill="FBE4D5" w:themeFill="accent2" w:themeFillTint="33"/>
          </w:tcPr>
          <w:p w:rsidR="005946E7" w:rsidRPr="0091442C" w:rsidRDefault="005946E7" w:rsidP="008045E6">
            <w:pPr>
              <w:pStyle w:val="NoSpacing"/>
              <w:jc w:val="center"/>
              <w:rPr>
                <w:rFonts w:ascii="Arial" w:hAnsi="Arial" w:cs="Arial"/>
                <w:b/>
              </w:rPr>
            </w:pPr>
            <w:r w:rsidRPr="0091442C">
              <w:rPr>
                <w:rFonts w:ascii="Arial" w:hAnsi="Arial" w:cs="Arial"/>
                <w:b/>
              </w:rPr>
              <w:t>$18.63m</w:t>
            </w:r>
          </w:p>
        </w:tc>
      </w:tr>
    </w:tbl>
    <w:p w:rsidR="005946E7" w:rsidRDefault="005946E7" w:rsidP="005946E7">
      <w:pPr>
        <w:rPr>
          <w:b/>
          <w:i/>
        </w:rPr>
      </w:pPr>
    </w:p>
    <w:p w:rsidR="005946E7" w:rsidRPr="00322715" w:rsidRDefault="005946E7" w:rsidP="005946E7">
      <w:pPr>
        <w:rPr>
          <w:rFonts w:ascii="Arial" w:hAnsi="Arial" w:cs="Arial"/>
          <w:b/>
        </w:rPr>
      </w:pPr>
    </w:p>
    <w:p w:rsidR="005946E7" w:rsidRPr="00322715" w:rsidRDefault="004B2682" w:rsidP="005946E7">
      <w:pPr>
        <w:rPr>
          <w:rFonts w:ascii="Arial" w:hAnsi="Arial" w:cs="Arial"/>
          <w:b/>
        </w:rPr>
      </w:pPr>
      <w:r w:rsidRPr="00322715">
        <w:rPr>
          <w:rFonts w:ascii="Arial" w:hAnsi="Arial" w:cs="Arial"/>
          <w:b/>
        </w:rPr>
        <w:t xml:space="preserve">Summary Comments on Option2 </w:t>
      </w:r>
      <w:r w:rsidR="00322715" w:rsidRPr="00322715">
        <w:rPr>
          <w:rFonts w:ascii="Arial" w:hAnsi="Arial" w:cs="Arial"/>
          <w:b/>
        </w:rPr>
        <w:t>– Enhanced Local Efficiency</w:t>
      </w:r>
    </w:p>
    <w:p w:rsidR="005946E7" w:rsidRDefault="00322715" w:rsidP="00363282">
      <w:pPr>
        <w:pStyle w:val="NoSpacing"/>
        <w:rPr>
          <w:rFonts w:ascii="Arial" w:hAnsi="Arial" w:cs="Arial"/>
          <w:b/>
          <w:i/>
        </w:rPr>
      </w:pPr>
      <w:r w:rsidRPr="00322715">
        <w:rPr>
          <w:rFonts w:ascii="Arial" w:hAnsi="Arial" w:cs="Arial"/>
          <w:b/>
        </w:rPr>
        <w:t xml:space="preserve"> </w:t>
      </w:r>
      <w:r w:rsidRPr="00322715">
        <w:rPr>
          <w:rFonts w:ascii="Arial" w:hAnsi="Arial" w:cs="Arial"/>
          <w:b/>
          <w:i/>
        </w:rPr>
        <w:t>One Wairarapa</w:t>
      </w:r>
    </w:p>
    <w:p w:rsidR="00322715" w:rsidRDefault="00322715" w:rsidP="00363282">
      <w:pPr>
        <w:pStyle w:val="NoSpacing"/>
        <w:rPr>
          <w:rFonts w:ascii="Arial" w:hAnsi="Arial" w:cs="Arial"/>
          <w:b/>
          <w:i/>
        </w:rPr>
      </w:pPr>
    </w:p>
    <w:p w:rsidR="00322715" w:rsidRDefault="00322715" w:rsidP="00322715">
      <w:pPr>
        <w:pStyle w:val="NoSpacing"/>
        <w:numPr>
          <w:ilvl w:val="0"/>
          <w:numId w:val="20"/>
        </w:numPr>
        <w:rPr>
          <w:rFonts w:ascii="Arial" w:hAnsi="Arial" w:cs="Arial"/>
        </w:rPr>
      </w:pPr>
      <w:r>
        <w:rPr>
          <w:rFonts w:ascii="Arial" w:hAnsi="Arial" w:cs="Arial"/>
        </w:rPr>
        <w:t xml:space="preserve">Long term potential yearly savings </w:t>
      </w:r>
      <w:r w:rsidR="00A34B71">
        <w:rPr>
          <w:rFonts w:ascii="Arial" w:hAnsi="Arial" w:cs="Arial"/>
        </w:rPr>
        <w:t>for amalgamating the three existing Wairarapa councils into one council are assessed at $1.33 million.</w:t>
      </w:r>
    </w:p>
    <w:p w:rsidR="00A34B71" w:rsidRDefault="00A34B71" w:rsidP="00322715">
      <w:pPr>
        <w:pStyle w:val="NoSpacing"/>
        <w:numPr>
          <w:ilvl w:val="0"/>
          <w:numId w:val="20"/>
        </w:numPr>
        <w:rPr>
          <w:rFonts w:ascii="Arial" w:hAnsi="Arial" w:cs="Arial"/>
        </w:rPr>
      </w:pPr>
      <w:r>
        <w:rPr>
          <w:rFonts w:ascii="Arial" w:hAnsi="Arial" w:cs="Arial"/>
        </w:rPr>
        <w:t>About 56% of the $1.33 million is estimated to be savings in activity opex and capex expenditure</w:t>
      </w:r>
    </w:p>
    <w:p w:rsidR="00A34B71" w:rsidRDefault="00A34B71" w:rsidP="00322715">
      <w:pPr>
        <w:pStyle w:val="NoSpacing"/>
        <w:numPr>
          <w:ilvl w:val="0"/>
          <w:numId w:val="20"/>
        </w:numPr>
        <w:rPr>
          <w:rFonts w:ascii="Arial" w:hAnsi="Arial" w:cs="Arial"/>
        </w:rPr>
      </w:pPr>
      <w:r>
        <w:rPr>
          <w:rFonts w:ascii="Arial" w:hAnsi="Arial" w:cs="Arial"/>
        </w:rPr>
        <w:t>There will also be savings in governance and audit costs – these are estimated at $0.47 million a year or 35% of the total assessed savings</w:t>
      </w:r>
    </w:p>
    <w:p w:rsidR="00A34B71" w:rsidRDefault="00A34B71" w:rsidP="00322715">
      <w:pPr>
        <w:pStyle w:val="NoSpacing"/>
        <w:numPr>
          <w:ilvl w:val="0"/>
          <w:numId w:val="20"/>
        </w:numPr>
        <w:rPr>
          <w:rFonts w:ascii="Arial" w:hAnsi="Arial" w:cs="Arial"/>
        </w:rPr>
      </w:pPr>
      <w:r>
        <w:rPr>
          <w:rFonts w:ascii="Arial" w:hAnsi="Arial" w:cs="Arial"/>
        </w:rPr>
        <w:t>There will be little in savings in corporate support costs, as the three Wairarapa councils have minimal corporate costs at present.</w:t>
      </w:r>
    </w:p>
    <w:p w:rsidR="00A34B71" w:rsidRDefault="00A34B71" w:rsidP="00A34B71">
      <w:pPr>
        <w:pStyle w:val="NoSpacing"/>
        <w:rPr>
          <w:rFonts w:ascii="Arial" w:hAnsi="Arial" w:cs="Arial"/>
        </w:rPr>
      </w:pPr>
    </w:p>
    <w:p w:rsidR="00A34B71" w:rsidRDefault="00A34B71" w:rsidP="00A34B71">
      <w:pPr>
        <w:pStyle w:val="NoSpacing"/>
        <w:rPr>
          <w:rFonts w:ascii="Arial" w:hAnsi="Arial" w:cs="Arial"/>
        </w:rPr>
      </w:pPr>
    </w:p>
    <w:p w:rsidR="00A34B71" w:rsidRPr="000D562D" w:rsidRDefault="00A34B71" w:rsidP="00A34B71">
      <w:pPr>
        <w:pStyle w:val="NoSpacing"/>
        <w:rPr>
          <w:rFonts w:ascii="Arial" w:hAnsi="Arial" w:cs="Arial"/>
          <w:b/>
          <w:i/>
        </w:rPr>
      </w:pPr>
      <w:r w:rsidRPr="000D562D">
        <w:rPr>
          <w:rFonts w:ascii="Arial" w:hAnsi="Arial" w:cs="Arial"/>
          <w:b/>
          <w:i/>
        </w:rPr>
        <w:t>One Hutt</w:t>
      </w:r>
    </w:p>
    <w:p w:rsidR="00A34B71" w:rsidRDefault="00A34B71" w:rsidP="00A34B71">
      <w:pPr>
        <w:pStyle w:val="NoSpacing"/>
        <w:rPr>
          <w:rFonts w:ascii="Arial" w:hAnsi="Arial" w:cs="Arial"/>
        </w:rPr>
      </w:pPr>
    </w:p>
    <w:p w:rsidR="00A34B71" w:rsidRDefault="00A34B71" w:rsidP="00A34B71">
      <w:pPr>
        <w:pStyle w:val="NoSpacing"/>
        <w:numPr>
          <w:ilvl w:val="0"/>
          <w:numId w:val="21"/>
        </w:numPr>
        <w:rPr>
          <w:rFonts w:ascii="Arial" w:hAnsi="Arial" w:cs="Arial"/>
        </w:rPr>
      </w:pPr>
      <w:r>
        <w:rPr>
          <w:rFonts w:ascii="Arial" w:hAnsi="Arial" w:cs="Arial"/>
        </w:rPr>
        <w:t>Long term potential yearly savings for amalgamating the two existing Hutt Councils into one Council are assessed at $5.57 million.</w:t>
      </w:r>
    </w:p>
    <w:p w:rsidR="00A34B71" w:rsidRDefault="00A34B71" w:rsidP="00A34B71">
      <w:pPr>
        <w:pStyle w:val="NoSpacing"/>
        <w:numPr>
          <w:ilvl w:val="0"/>
          <w:numId w:val="21"/>
        </w:numPr>
        <w:rPr>
          <w:rFonts w:ascii="Arial" w:hAnsi="Arial" w:cs="Arial"/>
        </w:rPr>
      </w:pPr>
      <w:r>
        <w:rPr>
          <w:rFonts w:ascii="Arial" w:hAnsi="Arial" w:cs="Arial"/>
        </w:rPr>
        <w:t>About half of the assessed savings are from rationalisation of corporate support costs.</w:t>
      </w:r>
    </w:p>
    <w:p w:rsidR="00A34B71" w:rsidRDefault="00A34B71" w:rsidP="00A34B71">
      <w:pPr>
        <w:pStyle w:val="NoSpacing"/>
        <w:numPr>
          <w:ilvl w:val="0"/>
          <w:numId w:val="21"/>
        </w:numPr>
        <w:rPr>
          <w:rFonts w:ascii="Arial" w:hAnsi="Arial" w:cs="Arial"/>
        </w:rPr>
      </w:pPr>
      <w:r>
        <w:rPr>
          <w:rFonts w:ascii="Arial" w:hAnsi="Arial" w:cs="Arial"/>
        </w:rPr>
        <w:t>About 40% of the $1.33 million is estimated to be savings in activity opex and capex expenditure</w:t>
      </w:r>
    </w:p>
    <w:p w:rsidR="00A34B71" w:rsidRDefault="00A34B71" w:rsidP="00A34B71">
      <w:pPr>
        <w:pStyle w:val="NoSpacing"/>
        <w:numPr>
          <w:ilvl w:val="0"/>
          <w:numId w:val="21"/>
        </w:numPr>
        <w:rPr>
          <w:rFonts w:ascii="Arial" w:hAnsi="Arial" w:cs="Arial"/>
        </w:rPr>
      </w:pPr>
      <w:r>
        <w:rPr>
          <w:rFonts w:ascii="Arial" w:hAnsi="Arial" w:cs="Arial"/>
        </w:rPr>
        <w:t xml:space="preserve">There will be </w:t>
      </w:r>
      <w:r w:rsidR="000D562D">
        <w:rPr>
          <w:rFonts w:ascii="Arial" w:hAnsi="Arial" w:cs="Arial"/>
        </w:rPr>
        <w:t xml:space="preserve">relatively </w:t>
      </w:r>
      <w:r>
        <w:rPr>
          <w:rFonts w:ascii="Arial" w:hAnsi="Arial" w:cs="Arial"/>
        </w:rPr>
        <w:t>minor savings</w:t>
      </w:r>
      <w:r w:rsidR="000D562D">
        <w:rPr>
          <w:rFonts w:ascii="Arial" w:hAnsi="Arial" w:cs="Arial"/>
        </w:rPr>
        <w:t xml:space="preserve"> in governance and audit costs</w:t>
      </w:r>
    </w:p>
    <w:p w:rsidR="000D562D" w:rsidRDefault="000D562D" w:rsidP="000D562D">
      <w:pPr>
        <w:pStyle w:val="NoSpacing"/>
        <w:rPr>
          <w:rFonts w:ascii="Arial" w:hAnsi="Arial" w:cs="Arial"/>
        </w:rPr>
      </w:pPr>
    </w:p>
    <w:p w:rsidR="000D562D" w:rsidRDefault="000D562D" w:rsidP="000D562D">
      <w:pPr>
        <w:pStyle w:val="NoSpacing"/>
        <w:rPr>
          <w:rFonts w:ascii="Arial" w:hAnsi="Arial" w:cs="Arial"/>
        </w:rPr>
      </w:pPr>
    </w:p>
    <w:p w:rsidR="000D562D" w:rsidRPr="000D562D" w:rsidRDefault="000D562D" w:rsidP="000D562D">
      <w:pPr>
        <w:pStyle w:val="NoSpacing"/>
        <w:rPr>
          <w:rFonts w:ascii="Arial" w:hAnsi="Arial" w:cs="Arial"/>
          <w:b/>
          <w:i/>
        </w:rPr>
      </w:pPr>
      <w:r w:rsidRPr="000D562D">
        <w:rPr>
          <w:rFonts w:ascii="Arial" w:hAnsi="Arial" w:cs="Arial"/>
          <w:b/>
          <w:i/>
        </w:rPr>
        <w:t>One Western and North Wellington Council</w:t>
      </w:r>
    </w:p>
    <w:p w:rsidR="000D562D" w:rsidRDefault="000D562D" w:rsidP="000D562D">
      <w:pPr>
        <w:pStyle w:val="NoSpacing"/>
        <w:rPr>
          <w:rFonts w:ascii="Arial" w:hAnsi="Arial" w:cs="Arial"/>
        </w:rPr>
      </w:pPr>
    </w:p>
    <w:p w:rsidR="000D562D" w:rsidRDefault="000D562D" w:rsidP="000D562D">
      <w:pPr>
        <w:pStyle w:val="NoSpacing"/>
        <w:numPr>
          <w:ilvl w:val="0"/>
          <w:numId w:val="22"/>
        </w:numPr>
        <w:rPr>
          <w:rFonts w:ascii="Arial" w:hAnsi="Arial" w:cs="Arial"/>
        </w:rPr>
      </w:pPr>
      <w:r>
        <w:rPr>
          <w:rFonts w:ascii="Arial" w:hAnsi="Arial" w:cs="Arial"/>
        </w:rPr>
        <w:t>Long term potential yearly savings for amalgamating Wellington City, Porirua City and Kapiti District are assessed at $18.6 million on the assumption that the new council will have five local boards.</w:t>
      </w:r>
    </w:p>
    <w:p w:rsidR="000D562D" w:rsidRDefault="000D562D" w:rsidP="000D562D">
      <w:pPr>
        <w:pStyle w:val="NoSpacing"/>
        <w:numPr>
          <w:ilvl w:val="0"/>
          <w:numId w:val="22"/>
        </w:numPr>
        <w:rPr>
          <w:rFonts w:ascii="Arial" w:hAnsi="Arial" w:cs="Arial"/>
        </w:rPr>
      </w:pPr>
      <w:r>
        <w:rPr>
          <w:rFonts w:ascii="Arial" w:hAnsi="Arial" w:cs="Arial"/>
        </w:rPr>
        <w:t>The bulk of the estimated savings is in rationalisation of corporate costs.</w:t>
      </w:r>
    </w:p>
    <w:p w:rsidR="000D562D" w:rsidRDefault="000D562D" w:rsidP="000D562D">
      <w:pPr>
        <w:pStyle w:val="NoSpacing"/>
        <w:numPr>
          <w:ilvl w:val="0"/>
          <w:numId w:val="22"/>
        </w:numPr>
        <w:rPr>
          <w:rFonts w:ascii="Arial" w:hAnsi="Arial" w:cs="Arial"/>
        </w:rPr>
      </w:pPr>
      <w:r>
        <w:rPr>
          <w:rFonts w:ascii="Arial" w:hAnsi="Arial" w:cs="Arial"/>
        </w:rPr>
        <w:t>About $5 million is estimated to be yearly savings in activity opex and capex expenditure</w:t>
      </w:r>
    </w:p>
    <w:p w:rsidR="0003424B" w:rsidRDefault="0003424B" w:rsidP="0003424B">
      <w:pPr>
        <w:pStyle w:val="NoSpacing"/>
        <w:rPr>
          <w:rFonts w:ascii="Arial" w:hAnsi="Arial" w:cs="Arial"/>
        </w:rPr>
      </w:pPr>
    </w:p>
    <w:p w:rsidR="0003424B" w:rsidRPr="0003424B" w:rsidRDefault="0003424B" w:rsidP="0003424B">
      <w:pPr>
        <w:pStyle w:val="NoSpacing"/>
        <w:rPr>
          <w:rFonts w:ascii="Arial" w:hAnsi="Arial" w:cs="Arial"/>
          <w:b/>
        </w:rPr>
      </w:pPr>
    </w:p>
    <w:p w:rsidR="0003424B" w:rsidRPr="0003424B" w:rsidRDefault="0003424B" w:rsidP="0003424B">
      <w:pPr>
        <w:pStyle w:val="NoSpacing"/>
        <w:rPr>
          <w:rFonts w:ascii="Arial" w:hAnsi="Arial" w:cs="Arial"/>
          <w:b/>
        </w:rPr>
      </w:pPr>
      <w:r w:rsidRPr="0003424B">
        <w:rPr>
          <w:rFonts w:ascii="Arial" w:hAnsi="Arial" w:cs="Arial"/>
          <w:b/>
        </w:rPr>
        <w:t>Summary yearly savings table – Option 2 – Enhanced Local Efficiency</w:t>
      </w:r>
    </w:p>
    <w:p w:rsidR="0003424B" w:rsidRDefault="0003424B" w:rsidP="0003424B">
      <w:pPr>
        <w:pStyle w:val="NoSpacing"/>
        <w:rPr>
          <w:rFonts w:ascii="Arial" w:hAnsi="Arial" w:cs="Arial"/>
        </w:rPr>
      </w:pPr>
    </w:p>
    <w:p w:rsidR="0003424B" w:rsidRPr="002B7948" w:rsidRDefault="002B7948" w:rsidP="0003424B">
      <w:pPr>
        <w:pStyle w:val="NoSpacing"/>
        <w:rPr>
          <w:rFonts w:ascii="Arial" w:hAnsi="Arial" w:cs="Arial"/>
          <w:i/>
        </w:rPr>
      </w:pPr>
      <w:r>
        <w:rPr>
          <w:rFonts w:ascii="Arial" w:hAnsi="Arial" w:cs="Arial"/>
        </w:rPr>
        <w:t xml:space="preserve">           </w:t>
      </w:r>
      <w:r w:rsidRPr="002B7948">
        <w:rPr>
          <w:rFonts w:ascii="Arial" w:hAnsi="Arial" w:cs="Arial"/>
          <w:i/>
        </w:rPr>
        <w:t xml:space="preserve">Table 9  </w:t>
      </w:r>
      <w:r w:rsidR="0065222E">
        <w:rPr>
          <w:rFonts w:ascii="Arial" w:hAnsi="Arial" w:cs="Arial"/>
          <w:i/>
        </w:rPr>
        <w:t xml:space="preserve">  </w:t>
      </w:r>
      <w:r w:rsidRPr="002B7948">
        <w:rPr>
          <w:rFonts w:ascii="Arial" w:hAnsi="Arial" w:cs="Arial"/>
          <w:i/>
        </w:rPr>
        <w:t xml:space="preserve">Option 2 </w:t>
      </w:r>
      <w:r w:rsidR="0065222E">
        <w:rPr>
          <w:rFonts w:ascii="Arial" w:hAnsi="Arial" w:cs="Arial"/>
          <w:i/>
        </w:rPr>
        <w:t xml:space="preserve">   </w:t>
      </w:r>
      <w:r w:rsidRPr="002B7948">
        <w:rPr>
          <w:rFonts w:ascii="Arial" w:hAnsi="Arial" w:cs="Arial"/>
          <w:i/>
        </w:rPr>
        <w:t>Cost Savings Summary</w:t>
      </w:r>
    </w:p>
    <w:p w:rsidR="002B7948" w:rsidRDefault="002B7948" w:rsidP="0003424B">
      <w:pPr>
        <w:pStyle w:val="NoSpacing"/>
        <w:rPr>
          <w:rFonts w:ascii="Arial" w:hAnsi="Arial" w:cs="Arial"/>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3"/>
        <w:gridCol w:w="1260"/>
        <w:gridCol w:w="1170"/>
        <w:gridCol w:w="1170"/>
        <w:gridCol w:w="1170"/>
      </w:tblGrid>
      <w:tr w:rsidR="0003424B" w:rsidRPr="0091442C" w:rsidTr="008045E6">
        <w:tc>
          <w:tcPr>
            <w:tcW w:w="4113" w:type="dxa"/>
            <w:shd w:val="clear" w:color="auto" w:fill="F2F2F2" w:themeFill="background1" w:themeFillShade="F2"/>
          </w:tcPr>
          <w:p w:rsidR="0003424B" w:rsidRPr="0091442C" w:rsidRDefault="0003424B" w:rsidP="008045E6">
            <w:pPr>
              <w:pStyle w:val="NoSpacing"/>
              <w:rPr>
                <w:rFonts w:ascii="Arial" w:hAnsi="Arial" w:cs="Arial"/>
                <w:i/>
              </w:rPr>
            </w:pPr>
            <w:r>
              <w:rPr>
                <w:rFonts w:ascii="Arial" w:hAnsi="Arial" w:cs="Arial"/>
                <w:i/>
              </w:rPr>
              <w:t>New territorial council</w:t>
            </w:r>
          </w:p>
        </w:tc>
        <w:tc>
          <w:tcPr>
            <w:tcW w:w="3600" w:type="dxa"/>
            <w:gridSpan w:val="3"/>
            <w:shd w:val="clear" w:color="auto" w:fill="F2F2F2" w:themeFill="background1" w:themeFillShade="F2"/>
          </w:tcPr>
          <w:p w:rsidR="0003424B" w:rsidRDefault="0003424B" w:rsidP="008045E6">
            <w:pPr>
              <w:pStyle w:val="NoSpacing"/>
              <w:jc w:val="center"/>
              <w:rPr>
                <w:rFonts w:ascii="Arial" w:hAnsi="Arial" w:cs="Arial"/>
                <w:i/>
              </w:rPr>
            </w:pPr>
            <w:r>
              <w:rPr>
                <w:rFonts w:ascii="Arial" w:hAnsi="Arial" w:cs="Arial"/>
                <w:i/>
              </w:rPr>
              <w:t>Transition Years ($m)</w:t>
            </w:r>
          </w:p>
          <w:p w:rsidR="0003424B" w:rsidRDefault="0003424B" w:rsidP="008045E6">
            <w:pPr>
              <w:pStyle w:val="NoSpacing"/>
              <w:rPr>
                <w:rFonts w:ascii="Arial" w:hAnsi="Arial" w:cs="Arial"/>
                <w:i/>
              </w:rPr>
            </w:pPr>
          </w:p>
          <w:p w:rsidR="0003424B" w:rsidRDefault="0003424B" w:rsidP="008045E6">
            <w:pPr>
              <w:pStyle w:val="NoSpacing"/>
              <w:rPr>
                <w:rFonts w:ascii="Arial" w:hAnsi="Arial" w:cs="Arial"/>
                <w:i/>
              </w:rPr>
            </w:pPr>
            <w:r>
              <w:rPr>
                <w:rFonts w:ascii="Arial" w:hAnsi="Arial" w:cs="Arial"/>
                <w:i/>
              </w:rPr>
              <w:t xml:space="preserve">    Yr 1              Yr 2         Yr 3</w:t>
            </w:r>
          </w:p>
        </w:tc>
        <w:tc>
          <w:tcPr>
            <w:tcW w:w="1170" w:type="dxa"/>
            <w:shd w:val="clear" w:color="auto" w:fill="F2F2F2" w:themeFill="background1" w:themeFillShade="F2"/>
          </w:tcPr>
          <w:p w:rsidR="0003424B" w:rsidRPr="0091442C" w:rsidRDefault="0003424B" w:rsidP="008045E6">
            <w:pPr>
              <w:pStyle w:val="NoSpacing"/>
              <w:rPr>
                <w:rFonts w:ascii="Arial" w:hAnsi="Arial" w:cs="Arial"/>
                <w:i/>
              </w:rPr>
            </w:pPr>
            <w:r>
              <w:rPr>
                <w:rFonts w:ascii="Arial" w:hAnsi="Arial" w:cs="Arial"/>
                <w:i/>
              </w:rPr>
              <w:t>Year 4 onwards</w:t>
            </w:r>
          </w:p>
          <w:p w:rsidR="0003424B" w:rsidRDefault="0003424B" w:rsidP="008045E6">
            <w:pPr>
              <w:pStyle w:val="NoSpacing"/>
              <w:rPr>
                <w:rFonts w:ascii="Arial" w:hAnsi="Arial" w:cs="Arial"/>
                <w:i/>
              </w:rPr>
            </w:pPr>
            <w:r>
              <w:rPr>
                <w:rFonts w:ascii="Arial" w:hAnsi="Arial" w:cs="Arial"/>
                <w:i/>
              </w:rPr>
              <w:t>($m)</w:t>
            </w:r>
          </w:p>
          <w:p w:rsidR="0003424B" w:rsidRPr="0091442C" w:rsidRDefault="0003424B" w:rsidP="008045E6">
            <w:pPr>
              <w:pStyle w:val="NoSpacing"/>
              <w:rPr>
                <w:rFonts w:ascii="Arial" w:hAnsi="Arial" w:cs="Arial"/>
                <w:i/>
              </w:rPr>
            </w:pPr>
          </w:p>
        </w:tc>
      </w:tr>
      <w:tr w:rsidR="0003424B" w:rsidRPr="0091442C" w:rsidTr="008045E6">
        <w:tc>
          <w:tcPr>
            <w:tcW w:w="4113" w:type="dxa"/>
          </w:tcPr>
          <w:p w:rsidR="0003424B" w:rsidRDefault="0003424B" w:rsidP="008045E6">
            <w:pPr>
              <w:pStyle w:val="NoSpacing"/>
              <w:rPr>
                <w:rFonts w:ascii="Arial" w:hAnsi="Arial" w:cs="Arial"/>
              </w:rPr>
            </w:pPr>
            <w:r>
              <w:rPr>
                <w:rFonts w:ascii="Arial" w:hAnsi="Arial" w:cs="Arial"/>
              </w:rPr>
              <w:t>One Wairarapa</w:t>
            </w:r>
          </w:p>
          <w:p w:rsidR="0003424B" w:rsidRPr="0091442C" w:rsidRDefault="0003424B" w:rsidP="008045E6">
            <w:pPr>
              <w:pStyle w:val="NoSpacing"/>
              <w:rPr>
                <w:rFonts w:ascii="Arial" w:hAnsi="Arial" w:cs="Arial"/>
              </w:rPr>
            </w:pPr>
          </w:p>
        </w:tc>
        <w:tc>
          <w:tcPr>
            <w:tcW w:w="1260" w:type="dxa"/>
          </w:tcPr>
          <w:p w:rsidR="0003424B" w:rsidRPr="0091442C" w:rsidRDefault="0003424B" w:rsidP="008045E6">
            <w:pPr>
              <w:pStyle w:val="NoSpacing"/>
              <w:jc w:val="center"/>
              <w:rPr>
                <w:rFonts w:ascii="Arial" w:hAnsi="Arial" w:cs="Arial"/>
              </w:rPr>
            </w:pPr>
            <w:r>
              <w:rPr>
                <w:rFonts w:ascii="Arial" w:hAnsi="Arial" w:cs="Arial"/>
              </w:rPr>
              <w:t>0.96</w:t>
            </w:r>
          </w:p>
        </w:tc>
        <w:tc>
          <w:tcPr>
            <w:tcW w:w="1170" w:type="dxa"/>
          </w:tcPr>
          <w:p w:rsidR="0003424B" w:rsidRPr="0091442C" w:rsidRDefault="0003424B" w:rsidP="008045E6">
            <w:pPr>
              <w:pStyle w:val="NoSpacing"/>
              <w:jc w:val="center"/>
              <w:rPr>
                <w:rFonts w:ascii="Arial" w:hAnsi="Arial" w:cs="Arial"/>
              </w:rPr>
            </w:pPr>
            <w:r>
              <w:rPr>
                <w:rFonts w:ascii="Arial" w:hAnsi="Arial" w:cs="Arial"/>
              </w:rPr>
              <w:t>1.21</w:t>
            </w:r>
          </w:p>
        </w:tc>
        <w:tc>
          <w:tcPr>
            <w:tcW w:w="1170" w:type="dxa"/>
          </w:tcPr>
          <w:p w:rsidR="0003424B" w:rsidRPr="0091442C" w:rsidRDefault="0003424B" w:rsidP="008045E6">
            <w:pPr>
              <w:pStyle w:val="NoSpacing"/>
              <w:jc w:val="center"/>
              <w:rPr>
                <w:rFonts w:ascii="Arial" w:hAnsi="Arial" w:cs="Arial"/>
              </w:rPr>
            </w:pPr>
            <w:r>
              <w:rPr>
                <w:rFonts w:ascii="Arial" w:hAnsi="Arial" w:cs="Arial"/>
              </w:rPr>
              <w:t>1.33</w:t>
            </w:r>
          </w:p>
        </w:tc>
        <w:tc>
          <w:tcPr>
            <w:tcW w:w="1170" w:type="dxa"/>
          </w:tcPr>
          <w:p w:rsidR="0003424B" w:rsidRPr="0091442C" w:rsidRDefault="0003424B" w:rsidP="008045E6">
            <w:pPr>
              <w:pStyle w:val="NoSpacing"/>
              <w:jc w:val="center"/>
              <w:rPr>
                <w:rFonts w:ascii="Arial" w:hAnsi="Arial" w:cs="Arial"/>
              </w:rPr>
            </w:pPr>
            <w:r>
              <w:rPr>
                <w:rFonts w:ascii="Arial" w:hAnsi="Arial" w:cs="Arial"/>
              </w:rPr>
              <w:t>1.33</w:t>
            </w:r>
          </w:p>
        </w:tc>
      </w:tr>
      <w:tr w:rsidR="0003424B" w:rsidRPr="0091442C" w:rsidTr="008045E6">
        <w:trPr>
          <w:trHeight w:val="323"/>
        </w:trPr>
        <w:tc>
          <w:tcPr>
            <w:tcW w:w="4113" w:type="dxa"/>
          </w:tcPr>
          <w:p w:rsidR="0003424B" w:rsidRDefault="0003424B" w:rsidP="008045E6">
            <w:pPr>
              <w:pStyle w:val="NoSpacing"/>
              <w:rPr>
                <w:rFonts w:ascii="Arial" w:hAnsi="Arial" w:cs="Arial"/>
              </w:rPr>
            </w:pPr>
            <w:r>
              <w:rPr>
                <w:rFonts w:ascii="Arial" w:hAnsi="Arial" w:cs="Arial"/>
              </w:rPr>
              <w:t>One Hutt</w:t>
            </w:r>
          </w:p>
          <w:p w:rsidR="0003424B" w:rsidRPr="0091442C" w:rsidRDefault="0003424B" w:rsidP="008045E6">
            <w:pPr>
              <w:pStyle w:val="NoSpacing"/>
              <w:rPr>
                <w:rFonts w:ascii="Arial" w:hAnsi="Arial" w:cs="Arial"/>
              </w:rPr>
            </w:pPr>
          </w:p>
        </w:tc>
        <w:tc>
          <w:tcPr>
            <w:tcW w:w="1260" w:type="dxa"/>
          </w:tcPr>
          <w:p w:rsidR="0003424B" w:rsidRPr="0091442C" w:rsidRDefault="0003424B" w:rsidP="008045E6">
            <w:pPr>
              <w:pStyle w:val="NoSpacing"/>
              <w:jc w:val="center"/>
              <w:rPr>
                <w:rFonts w:ascii="Arial" w:hAnsi="Arial" w:cs="Arial"/>
              </w:rPr>
            </w:pPr>
            <w:r>
              <w:rPr>
                <w:rFonts w:ascii="Arial" w:hAnsi="Arial" w:cs="Arial"/>
              </w:rPr>
              <w:t>4.08</w:t>
            </w:r>
          </w:p>
        </w:tc>
        <w:tc>
          <w:tcPr>
            <w:tcW w:w="1170" w:type="dxa"/>
          </w:tcPr>
          <w:p w:rsidR="0003424B" w:rsidRPr="0091442C" w:rsidRDefault="0003424B" w:rsidP="008045E6">
            <w:pPr>
              <w:pStyle w:val="NoSpacing"/>
              <w:jc w:val="center"/>
              <w:rPr>
                <w:rFonts w:ascii="Arial" w:hAnsi="Arial" w:cs="Arial"/>
              </w:rPr>
            </w:pPr>
            <w:r>
              <w:rPr>
                <w:rFonts w:ascii="Arial" w:hAnsi="Arial" w:cs="Arial"/>
              </w:rPr>
              <w:t>5.31</w:t>
            </w:r>
          </w:p>
        </w:tc>
        <w:tc>
          <w:tcPr>
            <w:tcW w:w="1170" w:type="dxa"/>
          </w:tcPr>
          <w:p w:rsidR="0003424B" w:rsidRPr="0091442C" w:rsidRDefault="0003424B" w:rsidP="008045E6">
            <w:pPr>
              <w:pStyle w:val="NoSpacing"/>
              <w:jc w:val="center"/>
              <w:rPr>
                <w:rFonts w:ascii="Arial" w:hAnsi="Arial" w:cs="Arial"/>
              </w:rPr>
            </w:pPr>
            <w:r>
              <w:rPr>
                <w:rFonts w:ascii="Arial" w:hAnsi="Arial" w:cs="Arial"/>
              </w:rPr>
              <w:t>5.57</w:t>
            </w:r>
          </w:p>
        </w:tc>
        <w:tc>
          <w:tcPr>
            <w:tcW w:w="1170" w:type="dxa"/>
          </w:tcPr>
          <w:p w:rsidR="0003424B" w:rsidRPr="0091442C" w:rsidRDefault="0003424B" w:rsidP="008045E6">
            <w:pPr>
              <w:pStyle w:val="NoSpacing"/>
              <w:jc w:val="center"/>
              <w:rPr>
                <w:rFonts w:ascii="Arial" w:hAnsi="Arial" w:cs="Arial"/>
              </w:rPr>
            </w:pPr>
            <w:r>
              <w:rPr>
                <w:rFonts w:ascii="Arial" w:hAnsi="Arial" w:cs="Arial"/>
              </w:rPr>
              <w:t>5.57</w:t>
            </w:r>
          </w:p>
        </w:tc>
      </w:tr>
      <w:tr w:rsidR="0003424B" w:rsidRPr="0091442C" w:rsidTr="008045E6">
        <w:tc>
          <w:tcPr>
            <w:tcW w:w="4113" w:type="dxa"/>
          </w:tcPr>
          <w:p w:rsidR="0003424B" w:rsidRDefault="0003424B" w:rsidP="008045E6">
            <w:pPr>
              <w:pStyle w:val="NoSpacing"/>
              <w:rPr>
                <w:rFonts w:ascii="Arial" w:hAnsi="Arial" w:cs="Arial"/>
              </w:rPr>
            </w:pPr>
            <w:r>
              <w:rPr>
                <w:rFonts w:ascii="Arial" w:hAnsi="Arial" w:cs="Arial"/>
              </w:rPr>
              <w:t>One North/Western Council (with local boards)</w:t>
            </w:r>
          </w:p>
          <w:p w:rsidR="0003424B" w:rsidRPr="0091442C" w:rsidRDefault="0003424B" w:rsidP="008045E6">
            <w:pPr>
              <w:pStyle w:val="NoSpacing"/>
              <w:rPr>
                <w:rFonts w:ascii="Arial" w:hAnsi="Arial" w:cs="Arial"/>
              </w:rPr>
            </w:pPr>
          </w:p>
        </w:tc>
        <w:tc>
          <w:tcPr>
            <w:tcW w:w="1260" w:type="dxa"/>
          </w:tcPr>
          <w:p w:rsidR="0003424B" w:rsidRPr="0091442C" w:rsidRDefault="0003424B" w:rsidP="008045E6">
            <w:pPr>
              <w:pStyle w:val="NoSpacing"/>
              <w:jc w:val="center"/>
              <w:rPr>
                <w:rFonts w:ascii="Arial" w:hAnsi="Arial" w:cs="Arial"/>
              </w:rPr>
            </w:pPr>
            <w:r>
              <w:rPr>
                <w:rFonts w:ascii="Arial" w:hAnsi="Arial" w:cs="Arial"/>
              </w:rPr>
              <w:t>14.54</w:t>
            </w:r>
          </w:p>
        </w:tc>
        <w:tc>
          <w:tcPr>
            <w:tcW w:w="1170" w:type="dxa"/>
          </w:tcPr>
          <w:p w:rsidR="0003424B" w:rsidRPr="0091442C" w:rsidRDefault="0003424B" w:rsidP="008045E6">
            <w:pPr>
              <w:pStyle w:val="NoSpacing"/>
              <w:jc w:val="center"/>
              <w:rPr>
                <w:rFonts w:ascii="Arial" w:hAnsi="Arial" w:cs="Arial"/>
              </w:rPr>
            </w:pPr>
            <w:r>
              <w:rPr>
                <w:rFonts w:ascii="Arial" w:hAnsi="Arial" w:cs="Arial"/>
              </w:rPr>
              <w:t>17.98</w:t>
            </w:r>
          </w:p>
        </w:tc>
        <w:tc>
          <w:tcPr>
            <w:tcW w:w="1170" w:type="dxa"/>
          </w:tcPr>
          <w:p w:rsidR="0003424B" w:rsidRPr="0091442C" w:rsidRDefault="0003424B" w:rsidP="008045E6">
            <w:pPr>
              <w:pStyle w:val="NoSpacing"/>
              <w:jc w:val="center"/>
              <w:rPr>
                <w:rFonts w:ascii="Arial" w:hAnsi="Arial" w:cs="Arial"/>
              </w:rPr>
            </w:pPr>
            <w:r>
              <w:rPr>
                <w:rFonts w:ascii="Arial" w:hAnsi="Arial" w:cs="Arial"/>
              </w:rPr>
              <w:t>18.63</w:t>
            </w:r>
          </w:p>
        </w:tc>
        <w:tc>
          <w:tcPr>
            <w:tcW w:w="1170" w:type="dxa"/>
          </w:tcPr>
          <w:p w:rsidR="0003424B" w:rsidRPr="0091442C" w:rsidRDefault="0003424B" w:rsidP="008045E6">
            <w:pPr>
              <w:pStyle w:val="NoSpacing"/>
              <w:jc w:val="center"/>
              <w:rPr>
                <w:rFonts w:ascii="Arial" w:hAnsi="Arial" w:cs="Arial"/>
              </w:rPr>
            </w:pPr>
            <w:r>
              <w:rPr>
                <w:rFonts w:ascii="Arial" w:hAnsi="Arial" w:cs="Arial"/>
              </w:rPr>
              <w:t>18.63</w:t>
            </w:r>
          </w:p>
        </w:tc>
      </w:tr>
      <w:tr w:rsidR="0003424B" w:rsidRPr="0091442C" w:rsidTr="0003424B">
        <w:tc>
          <w:tcPr>
            <w:tcW w:w="4113" w:type="dxa"/>
            <w:shd w:val="clear" w:color="auto" w:fill="FBE4D5" w:themeFill="accent2" w:themeFillTint="33"/>
          </w:tcPr>
          <w:p w:rsidR="0003424B" w:rsidRPr="0091442C" w:rsidRDefault="0003424B" w:rsidP="008045E6">
            <w:pPr>
              <w:pStyle w:val="NoSpacing"/>
              <w:rPr>
                <w:rFonts w:ascii="Arial" w:hAnsi="Arial" w:cs="Arial"/>
              </w:rPr>
            </w:pPr>
            <w:r>
              <w:rPr>
                <w:rFonts w:ascii="Arial" w:hAnsi="Arial" w:cs="Arial"/>
              </w:rPr>
              <w:t>Estimated yearly savings</w:t>
            </w:r>
          </w:p>
        </w:tc>
        <w:tc>
          <w:tcPr>
            <w:tcW w:w="1260" w:type="dxa"/>
            <w:shd w:val="clear" w:color="auto" w:fill="FBE4D5" w:themeFill="accent2" w:themeFillTint="33"/>
          </w:tcPr>
          <w:p w:rsidR="0003424B" w:rsidRPr="0091442C" w:rsidRDefault="0003424B" w:rsidP="008045E6">
            <w:pPr>
              <w:pStyle w:val="NoSpacing"/>
              <w:jc w:val="center"/>
              <w:rPr>
                <w:rFonts w:ascii="Arial" w:hAnsi="Arial" w:cs="Arial"/>
              </w:rPr>
            </w:pPr>
            <w:r>
              <w:rPr>
                <w:rFonts w:ascii="Arial" w:hAnsi="Arial" w:cs="Arial"/>
              </w:rPr>
              <w:t>$19.58m</w:t>
            </w:r>
          </w:p>
        </w:tc>
        <w:tc>
          <w:tcPr>
            <w:tcW w:w="1170" w:type="dxa"/>
            <w:shd w:val="clear" w:color="auto" w:fill="FBE4D5" w:themeFill="accent2" w:themeFillTint="33"/>
          </w:tcPr>
          <w:p w:rsidR="0003424B" w:rsidRPr="0091442C" w:rsidRDefault="0003424B" w:rsidP="008045E6">
            <w:pPr>
              <w:pStyle w:val="NoSpacing"/>
              <w:jc w:val="center"/>
              <w:rPr>
                <w:rFonts w:ascii="Arial" w:hAnsi="Arial" w:cs="Arial"/>
              </w:rPr>
            </w:pPr>
            <w:r>
              <w:rPr>
                <w:rFonts w:ascii="Arial" w:hAnsi="Arial" w:cs="Arial"/>
              </w:rPr>
              <w:t>$24.5m</w:t>
            </w:r>
          </w:p>
        </w:tc>
        <w:tc>
          <w:tcPr>
            <w:tcW w:w="1170" w:type="dxa"/>
            <w:shd w:val="clear" w:color="auto" w:fill="FBE4D5" w:themeFill="accent2" w:themeFillTint="33"/>
          </w:tcPr>
          <w:p w:rsidR="0003424B" w:rsidRPr="0091442C" w:rsidRDefault="0003424B" w:rsidP="008045E6">
            <w:pPr>
              <w:pStyle w:val="NoSpacing"/>
              <w:jc w:val="center"/>
              <w:rPr>
                <w:rFonts w:ascii="Arial" w:hAnsi="Arial" w:cs="Arial"/>
              </w:rPr>
            </w:pPr>
            <w:r>
              <w:rPr>
                <w:rFonts w:ascii="Arial" w:hAnsi="Arial" w:cs="Arial"/>
              </w:rPr>
              <w:t>$25.53m</w:t>
            </w:r>
          </w:p>
        </w:tc>
        <w:tc>
          <w:tcPr>
            <w:tcW w:w="1170" w:type="dxa"/>
            <w:shd w:val="clear" w:color="auto" w:fill="FBE4D5" w:themeFill="accent2" w:themeFillTint="33"/>
          </w:tcPr>
          <w:p w:rsidR="0003424B" w:rsidRPr="0091442C" w:rsidRDefault="0003424B" w:rsidP="008045E6">
            <w:pPr>
              <w:pStyle w:val="NoSpacing"/>
              <w:jc w:val="center"/>
              <w:rPr>
                <w:rFonts w:ascii="Arial" w:hAnsi="Arial" w:cs="Arial"/>
              </w:rPr>
            </w:pPr>
            <w:r>
              <w:rPr>
                <w:rFonts w:ascii="Arial" w:hAnsi="Arial" w:cs="Arial"/>
              </w:rPr>
              <w:t>$25.53m</w:t>
            </w:r>
          </w:p>
        </w:tc>
      </w:tr>
    </w:tbl>
    <w:p w:rsidR="0003424B" w:rsidRDefault="0003424B" w:rsidP="0003424B">
      <w:pPr>
        <w:pStyle w:val="NoSpacing"/>
        <w:ind w:left="720"/>
        <w:rPr>
          <w:rFonts w:ascii="Arial" w:hAnsi="Arial" w:cs="Arial"/>
        </w:rPr>
      </w:pPr>
    </w:p>
    <w:p w:rsidR="0003424B" w:rsidRDefault="0003424B" w:rsidP="0003424B">
      <w:pPr>
        <w:pStyle w:val="NoSpacing"/>
        <w:ind w:left="720"/>
        <w:rPr>
          <w:rFonts w:ascii="Arial" w:hAnsi="Arial" w:cs="Arial"/>
        </w:rPr>
      </w:pPr>
    </w:p>
    <w:p w:rsidR="0003424B" w:rsidRDefault="0003424B" w:rsidP="0003424B">
      <w:pPr>
        <w:pStyle w:val="NoSpacing"/>
        <w:ind w:left="720"/>
        <w:rPr>
          <w:rFonts w:ascii="Arial" w:hAnsi="Arial" w:cs="Arial"/>
        </w:rPr>
      </w:pPr>
    </w:p>
    <w:p w:rsidR="0003424B" w:rsidRDefault="0003424B" w:rsidP="0003424B">
      <w:pPr>
        <w:pStyle w:val="NoSpacing"/>
        <w:ind w:left="720"/>
        <w:rPr>
          <w:rFonts w:ascii="Arial" w:hAnsi="Arial" w:cs="Arial"/>
        </w:rPr>
      </w:pPr>
    </w:p>
    <w:p w:rsidR="0003424B" w:rsidRDefault="0003424B" w:rsidP="0003424B">
      <w:pPr>
        <w:pStyle w:val="NoSpacing"/>
        <w:ind w:left="720"/>
        <w:rPr>
          <w:rFonts w:ascii="Arial" w:hAnsi="Arial" w:cs="Arial"/>
        </w:rPr>
      </w:pPr>
    </w:p>
    <w:p w:rsidR="0003424B" w:rsidRDefault="0003424B" w:rsidP="0003424B">
      <w:pPr>
        <w:pStyle w:val="NoSpacing"/>
        <w:ind w:left="720"/>
        <w:rPr>
          <w:rFonts w:ascii="Arial" w:hAnsi="Arial" w:cs="Arial"/>
        </w:rPr>
      </w:pPr>
    </w:p>
    <w:p w:rsidR="0003424B" w:rsidRDefault="0003424B" w:rsidP="0003424B">
      <w:pPr>
        <w:pStyle w:val="NoSpacing"/>
        <w:ind w:left="720"/>
        <w:rPr>
          <w:rFonts w:ascii="Arial" w:hAnsi="Arial" w:cs="Arial"/>
        </w:rPr>
      </w:pPr>
    </w:p>
    <w:p w:rsidR="0003424B" w:rsidRDefault="0003424B" w:rsidP="0003424B">
      <w:pPr>
        <w:pStyle w:val="NoSpacing"/>
        <w:ind w:left="720"/>
        <w:rPr>
          <w:rFonts w:ascii="Arial" w:hAnsi="Arial" w:cs="Arial"/>
        </w:rPr>
      </w:pPr>
    </w:p>
    <w:p w:rsidR="0003424B" w:rsidRDefault="0003424B"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2B7948" w:rsidRDefault="002B7948" w:rsidP="0003424B">
      <w:pPr>
        <w:pStyle w:val="NoSpacing"/>
        <w:ind w:left="720"/>
        <w:rPr>
          <w:rFonts w:ascii="Arial" w:hAnsi="Arial" w:cs="Arial"/>
        </w:rPr>
      </w:pPr>
    </w:p>
    <w:p w:rsidR="0003424B" w:rsidRPr="00363282" w:rsidRDefault="0003424B" w:rsidP="0003424B">
      <w:pPr>
        <w:pStyle w:val="NoSpacing"/>
        <w:rPr>
          <w:rFonts w:ascii="Arial" w:hAnsi="Arial" w:cs="Arial"/>
          <w:b/>
        </w:rPr>
      </w:pPr>
      <w:r w:rsidRPr="00363282">
        <w:rPr>
          <w:rFonts w:ascii="Arial" w:hAnsi="Arial" w:cs="Arial"/>
          <w:b/>
        </w:rPr>
        <w:t xml:space="preserve">Analysis of Cost Savings under option </w:t>
      </w:r>
      <w:r>
        <w:rPr>
          <w:rFonts w:ascii="Arial" w:hAnsi="Arial" w:cs="Arial"/>
          <w:b/>
        </w:rPr>
        <w:t>3 –</w:t>
      </w:r>
      <w:r w:rsidR="00982BD6">
        <w:rPr>
          <w:rFonts w:ascii="Arial" w:hAnsi="Arial" w:cs="Arial"/>
          <w:b/>
        </w:rPr>
        <w:t xml:space="preserve"> Stronger Regional Delivery</w:t>
      </w:r>
    </w:p>
    <w:p w:rsidR="0003424B" w:rsidRDefault="0003424B" w:rsidP="0003424B">
      <w:pPr>
        <w:pStyle w:val="NoSpacing"/>
        <w:rPr>
          <w:rFonts w:ascii="Arial" w:hAnsi="Arial" w:cs="Arial"/>
        </w:rPr>
      </w:pPr>
    </w:p>
    <w:p w:rsidR="0003424B" w:rsidRDefault="0003424B" w:rsidP="0003424B">
      <w:pPr>
        <w:pStyle w:val="NoSpacing"/>
        <w:rPr>
          <w:rFonts w:ascii="Arial" w:hAnsi="Arial" w:cs="Arial"/>
        </w:rPr>
      </w:pPr>
    </w:p>
    <w:tbl>
      <w:tblPr>
        <w:tblStyle w:val="TableGrid"/>
        <w:tblW w:w="0" w:type="auto"/>
        <w:tblLook w:val="04A0" w:firstRow="1" w:lastRow="0" w:firstColumn="1" w:lastColumn="0" w:noHBand="0" w:noVBand="1"/>
      </w:tblPr>
      <w:tblGrid>
        <w:gridCol w:w="10456"/>
      </w:tblGrid>
      <w:tr w:rsidR="0003424B" w:rsidTr="008045E6">
        <w:tc>
          <w:tcPr>
            <w:tcW w:w="10456" w:type="dxa"/>
          </w:tcPr>
          <w:p w:rsidR="0003424B" w:rsidRPr="000B3F96" w:rsidRDefault="0003424B" w:rsidP="008045E6">
            <w:pPr>
              <w:pStyle w:val="NoSpacing"/>
              <w:rPr>
                <w:rFonts w:ascii="Arial" w:hAnsi="Arial" w:cs="Arial"/>
              </w:rPr>
            </w:pPr>
            <w:r w:rsidRPr="000B3F96">
              <w:rPr>
                <w:rFonts w:ascii="Arial" w:hAnsi="Arial" w:cs="Arial"/>
              </w:rPr>
              <w:t xml:space="preserve">This </w:t>
            </w:r>
            <w:r w:rsidR="00982BD6">
              <w:rPr>
                <w:rFonts w:ascii="Arial" w:hAnsi="Arial" w:cs="Arial"/>
              </w:rPr>
              <w:t>option envisages the transfer of all current activities, responsibilities, assets and relevant liabilities to the Regional Council in respect of</w:t>
            </w:r>
            <w:r w:rsidRPr="000B3F96">
              <w:rPr>
                <w:rFonts w:ascii="Arial" w:hAnsi="Arial" w:cs="Arial"/>
              </w:rPr>
              <w:t>;</w:t>
            </w:r>
          </w:p>
          <w:p w:rsidR="0003424B" w:rsidRPr="000B3F96" w:rsidRDefault="0003424B" w:rsidP="008045E6">
            <w:pPr>
              <w:pStyle w:val="NoSpacing"/>
              <w:rPr>
                <w:rFonts w:ascii="Arial" w:hAnsi="Arial" w:cs="Arial"/>
              </w:rPr>
            </w:pPr>
          </w:p>
          <w:p w:rsidR="0003424B" w:rsidRPr="000B3F96" w:rsidRDefault="00982BD6" w:rsidP="008045E6">
            <w:pPr>
              <w:pStyle w:val="NoSpacing"/>
              <w:numPr>
                <w:ilvl w:val="0"/>
                <w:numId w:val="8"/>
              </w:numPr>
              <w:rPr>
                <w:rFonts w:ascii="Arial" w:hAnsi="Arial" w:cs="Arial"/>
              </w:rPr>
            </w:pPr>
            <w:r>
              <w:rPr>
                <w:rFonts w:ascii="Arial" w:hAnsi="Arial" w:cs="Arial"/>
              </w:rPr>
              <w:t>Transport, including roading and footpaths</w:t>
            </w:r>
          </w:p>
          <w:p w:rsidR="0003424B" w:rsidRPr="000B3F96" w:rsidRDefault="0003424B" w:rsidP="008045E6">
            <w:pPr>
              <w:pStyle w:val="NoSpacing"/>
              <w:rPr>
                <w:rFonts w:ascii="Arial" w:hAnsi="Arial" w:cs="Arial"/>
              </w:rPr>
            </w:pPr>
          </w:p>
          <w:p w:rsidR="0003424B" w:rsidRPr="000B3F96" w:rsidRDefault="00982BD6" w:rsidP="008045E6">
            <w:pPr>
              <w:pStyle w:val="NoSpacing"/>
              <w:numPr>
                <w:ilvl w:val="0"/>
                <w:numId w:val="8"/>
              </w:numPr>
              <w:rPr>
                <w:rFonts w:ascii="Arial" w:hAnsi="Arial" w:cs="Arial"/>
              </w:rPr>
            </w:pPr>
            <w:r>
              <w:rPr>
                <w:rFonts w:ascii="Arial" w:hAnsi="Arial" w:cs="Arial"/>
              </w:rPr>
              <w:t>Three waters (water, wastewater and stormwater)</w:t>
            </w:r>
          </w:p>
          <w:p w:rsidR="0003424B" w:rsidRPr="000B3F96" w:rsidRDefault="0003424B" w:rsidP="008045E6">
            <w:pPr>
              <w:pStyle w:val="NoSpacing"/>
              <w:rPr>
                <w:rFonts w:ascii="Arial" w:hAnsi="Arial" w:cs="Arial"/>
              </w:rPr>
            </w:pPr>
          </w:p>
          <w:p w:rsidR="0003424B" w:rsidRDefault="00982BD6" w:rsidP="008045E6">
            <w:pPr>
              <w:pStyle w:val="NoSpacing"/>
              <w:numPr>
                <w:ilvl w:val="0"/>
                <w:numId w:val="8"/>
              </w:numPr>
              <w:rPr>
                <w:rFonts w:ascii="Arial" w:hAnsi="Arial" w:cs="Arial"/>
              </w:rPr>
            </w:pPr>
            <w:r>
              <w:rPr>
                <w:rFonts w:ascii="Arial" w:hAnsi="Arial" w:cs="Arial"/>
              </w:rPr>
              <w:t>RMA policy and regulatory activity; and building consent</w:t>
            </w:r>
          </w:p>
          <w:p w:rsidR="008045E6" w:rsidRDefault="008045E6" w:rsidP="008045E6">
            <w:pPr>
              <w:pStyle w:val="ListParagraph"/>
              <w:rPr>
                <w:rFonts w:cs="Arial"/>
              </w:rPr>
            </w:pPr>
          </w:p>
          <w:p w:rsidR="008045E6" w:rsidRDefault="008045E6" w:rsidP="008045E6">
            <w:pPr>
              <w:pStyle w:val="NoSpacing"/>
              <w:numPr>
                <w:ilvl w:val="0"/>
                <w:numId w:val="8"/>
              </w:numPr>
              <w:rPr>
                <w:rFonts w:ascii="Arial" w:hAnsi="Arial" w:cs="Arial"/>
              </w:rPr>
            </w:pPr>
            <w:r>
              <w:rPr>
                <w:rFonts w:ascii="Arial" w:hAnsi="Arial" w:cs="Arial"/>
              </w:rPr>
              <w:t>Economic Development</w:t>
            </w:r>
          </w:p>
          <w:p w:rsidR="0003424B" w:rsidRDefault="0003424B" w:rsidP="008045E6">
            <w:pPr>
              <w:pStyle w:val="ListParagraph"/>
              <w:rPr>
                <w:rFonts w:cs="Arial"/>
              </w:rPr>
            </w:pPr>
          </w:p>
          <w:p w:rsidR="0003424B" w:rsidRDefault="00982BD6" w:rsidP="008045E6">
            <w:pPr>
              <w:pStyle w:val="NoSpacing"/>
              <w:rPr>
                <w:rFonts w:ascii="Arial" w:hAnsi="Arial" w:cs="Arial"/>
              </w:rPr>
            </w:pPr>
            <w:r>
              <w:rPr>
                <w:rFonts w:ascii="Arial" w:hAnsi="Arial" w:cs="Arial"/>
              </w:rPr>
              <w:t>Territorial councils would retain responsibility and ownership of solid waste, housing and community activities such as parks and reserves, recreation facilities, cemeteries.</w:t>
            </w:r>
          </w:p>
          <w:p w:rsidR="00982BD6" w:rsidRDefault="00982BD6" w:rsidP="008045E6">
            <w:pPr>
              <w:pStyle w:val="NoSpacing"/>
              <w:rPr>
                <w:rFonts w:ascii="Arial" w:hAnsi="Arial" w:cs="Arial"/>
              </w:rPr>
            </w:pPr>
          </w:p>
        </w:tc>
      </w:tr>
    </w:tbl>
    <w:p w:rsidR="0003424B" w:rsidRDefault="0003424B" w:rsidP="0003424B">
      <w:pPr>
        <w:pStyle w:val="NoSpacing"/>
        <w:ind w:left="720"/>
        <w:rPr>
          <w:rFonts w:ascii="Arial" w:hAnsi="Arial" w:cs="Arial"/>
        </w:rPr>
      </w:pPr>
    </w:p>
    <w:p w:rsidR="00643EF2" w:rsidRDefault="00643EF2" w:rsidP="008045E6">
      <w:pPr>
        <w:pStyle w:val="NoSpacing"/>
        <w:rPr>
          <w:rFonts w:ascii="Arial" w:hAnsi="Arial" w:cs="Arial"/>
        </w:rPr>
      </w:pPr>
    </w:p>
    <w:p w:rsidR="008045E6" w:rsidRPr="00E21B52" w:rsidRDefault="008045E6" w:rsidP="008045E6">
      <w:pPr>
        <w:rPr>
          <w:rFonts w:ascii="Arial" w:hAnsi="Arial" w:cs="Arial"/>
          <w:b/>
          <w:i/>
        </w:rPr>
      </w:pPr>
      <w:r>
        <w:rPr>
          <w:rFonts w:ascii="Arial" w:hAnsi="Arial" w:cs="Arial"/>
          <w:b/>
          <w:i/>
        </w:rPr>
        <w:t>Option 3   Basis of Assessment</w:t>
      </w:r>
    </w:p>
    <w:p w:rsidR="008045E6" w:rsidRDefault="008045E6" w:rsidP="008045E6">
      <w:pPr>
        <w:pStyle w:val="ListParagraph"/>
        <w:numPr>
          <w:ilvl w:val="0"/>
          <w:numId w:val="23"/>
        </w:numPr>
        <w:jc w:val="left"/>
      </w:pPr>
      <w:r>
        <w:t>Under this option the region’s major infrastructure activities would be owned and managed by the enlarged regional council. These activities include roading, the three waters and economic development.</w:t>
      </w:r>
    </w:p>
    <w:p w:rsidR="008045E6" w:rsidRDefault="008045E6" w:rsidP="008045E6">
      <w:pPr>
        <w:pStyle w:val="ListParagraph"/>
        <w:jc w:val="left"/>
      </w:pPr>
    </w:p>
    <w:p w:rsidR="008045E6" w:rsidRDefault="008045E6" w:rsidP="008045E6">
      <w:pPr>
        <w:pStyle w:val="ListParagraph"/>
        <w:numPr>
          <w:ilvl w:val="0"/>
          <w:numId w:val="23"/>
        </w:numPr>
        <w:jc w:val="left"/>
      </w:pPr>
      <w:r>
        <w:t>The enlarged regional council would also administer economic development activities for the entire region as well as manage the activities that are currently managed by the existing regional council.</w:t>
      </w:r>
    </w:p>
    <w:p w:rsidR="008045E6" w:rsidRDefault="008045E6" w:rsidP="008045E6"/>
    <w:p w:rsidR="008045E6" w:rsidRDefault="008045E6" w:rsidP="008045E6">
      <w:pPr>
        <w:pStyle w:val="ListParagraph"/>
        <w:numPr>
          <w:ilvl w:val="0"/>
          <w:numId w:val="23"/>
        </w:numPr>
        <w:jc w:val="left"/>
      </w:pPr>
      <w:r>
        <w:t>In respect of regulatory activities, the enlarged regional council would administer the Regional Plan, RMA policy and all resource consenting. The regional council would also become the building consent authority for the region. The territorial councils would remain responsible for all other “local” regulatory functions such as liquor licensing, health inspections, noise control, rural fire, emergency management, civil defence, animal control etc.</w:t>
      </w:r>
    </w:p>
    <w:p w:rsidR="008045E6" w:rsidRDefault="008045E6" w:rsidP="008045E6"/>
    <w:p w:rsidR="008045E6" w:rsidRDefault="008045E6" w:rsidP="008045E6">
      <w:pPr>
        <w:pStyle w:val="ListParagraph"/>
        <w:numPr>
          <w:ilvl w:val="0"/>
          <w:numId w:val="23"/>
        </w:numPr>
        <w:jc w:val="left"/>
      </w:pPr>
      <w:r>
        <w:t>The territorial councils would remain responsible for owning and managing;</w:t>
      </w:r>
    </w:p>
    <w:p w:rsidR="008045E6" w:rsidRDefault="008045E6" w:rsidP="008045E6"/>
    <w:p w:rsidR="008045E6" w:rsidRDefault="008045E6" w:rsidP="008045E6">
      <w:pPr>
        <w:pStyle w:val="ListParagraph"/>
        <w:numPr>
          <w:ilvl w:val="0"/>
          <w:numId w:val="24"/>
        </w:numPr>
        <w:jc w:val="left"/>
      </w:pPr>
      <w:r>
        <w:t>Parks, open spaces and reserves</w:t>
      </w:r>
    </w:p>
    <w:p w:rsidR="008045E6" w:rsidRDefault="008045E6" w:rsidP="008045E6">
      <w:pPr>
        <w:pStyle w:val="ListParagraph"/>
        <w:numPr>
          <w:ilvl w:val="0"/>
          <w:numId w:val="24"/>
        </w:numPr>
        <w:jc w:val="left"/>
      </w:pPr>
      <w:r>
        <w:t>Community amenities – libraries, community centres, halls etc</w:t>
      </w:r>
    </w:p>
    <w:p w:rsidR="008045E6" w:rsidRDefault="008045E6" w:rsidP="008045E6">
      <w:pPr>
        <w:pStyle w:val="ListParagraph"/>
        <w:numPr>
          <w:ilvl w:val="0"/>
          <w:numId w:val="24"/>
        </w:numPr>
        <w:jc w:val="left"/>
      </w:pPr>
      <w:r>
        <w:t>Recreation, aquatic and events centres</w:t>
      </w:r>
    </w:p>
    <w:p w:rsidR="008045E6" w:rsidRDefault="008045E6" w:rsidP="008045E6">
      <w:pPr>
        <w:pStyle w:val="ListParagraph"/>
        <w:numPr>
          <w:ilvl w:val="0"/>
          <w:numId w:val="24"/>
        </w:numPr>
        <w:jc w:val="left"/>
      </w:pPr>
      <w:r>
        <w:t>Cemeteries</w:t>
      </w:r>
    </w:p>
    <w:p w:rsidR="008045E6" w:rsidRDefault="008045E6" w:rsidP="008045E6">
      <w:pPr>
        <w:pStyle w:val="ListParagraph"/>
        <w:numPr>
          <w:ilvl w:val="0"/>
          <w:numId w:val="24"/>
        </w:numPr>
        <w:jc w:val="left"/>
      </w:pPr>
      <w:r>
        <w:t>Public toilets</w:t>
      </w:r>
    </w:p>
    <w:p w:rsidR="008045E6" w:rsidRDefault="008045E6" w:rsidP="008045E6">
      <w:pPr>
        <w:pStyle w:val="ListParagraph"/>
        <w:numPr>
          <w:ilvl w:val="0"/>
          <w:numId w:val="24"/>
        </w:numPr>
        <w:jc w:val="left"/>
      </w:pPr>
      <w:r>
        <w:t>Community and pensioner housing</w:t>
      </w:r>
    </w:p>
    <w:p w:rsidR="008045E6" w:rsidRDefault="008045E6" w:rsidP="008045E6">
      <w:pPr>
        <w:pStyle w:val="ListParagraph"/>
        <w:numPr>
          <w:ilvl w:val="0"/>
          <w:numId w:val="24"/>
        </w:numPr>
        <w:jc w:val="left"/>
      </w:pPr>
      <w:r>
        <w:t>Solid waste, recycling</w:t>
      </w:r>
    </w:p>
    <w:p w:rsidR="008045E6" w:rsidRDefault="008045E6" w:rsidP="008045E6">
      <w:pPr>
        <w:pStyle w:val="ListParagraph"/>
        <w:ind w:left="1440"/>
        <w:jc w:val="left"/>
      </w:pPr>
    </w:p>
    <w:p w:rsidR="008045E6" w:rsidRDefault="008045E6" w:rsidP="008045E6">
      <w:pPr>
        <w:pStyle w:val="ListParagraph"/>
        <w:ind w:left="1440"/>
        <w:jc w:val="left"/>
      </w:pPr>
    </w:p>
    <w:p w:rsidR="008045E6" w:rsidRDefault="008045E6" w:rsidP="008045E6">
      <w:pPr>
        <w:pStyle w:val="ListParagraph"/>
        <w:numPr>
          <w:ilvl w:val="0"/>
          <w:numId w:val="25"/>
        </w:numPr>
        <w:jc w:val="left"/>
      </w:pPr>
      <w:r>
        <w:t>Under this option it is envisaged that the enlarged regional council would administer the rating function for all councils i.e. a reversal of the existing arrangements.</w:t>
      </w:r>
    </w:p>
    <w:p w:rsidR="00E21B52" w:rsidRDefault="00E21B52" w:rsidP="00E21B52"/>
    <w:p w:rsidR="00E21B52" w:rsidRDefault="00E21B52" w:rsidP="00E21B52">
      <w:pPr>
        <w:pStyle w:val="ListParagraph"/>
        <w:numPr>
          <w:ilvl w:val="0"/>
          <w:numId w:val="25"/>
        </w:numPr>
      </w:pPr>
      <w:r>
        <w:t xml:space="preserve">It would be expected, under this option, that there would be a proportionate split of assets and liabilities between the enlarged regional council and the territorial councils. However this analysis does not </w:t>
      </w:r>
      <w:r w:rsidR="004E3EE2">
        <w:t>seek to value the assets or partition the debt.</w:t>
      </w:r>
    </w:p>
    <w:p w:rsidR="008045E6" w:rsidRDefault="008045E6" w:rsidP="008045E6">
      <w:pPr>
        <w:rPr>
          <w:rFonts w:ascii="Arial" w:hAnsi="Arial" w:cs="Arial"/>
          <w:b/>
          <w:i/>
        </w:rPr>
      </w:pPr>
    </w:p>
    <w:p w:rsidR="008045E6" w:rsidRDefault="008045E6" w:rsidP="008045E6">
      <w:pPr>
        <w:rPr>
          <w:rFonts w:ascii="Arial" w:hAnsi="Arial" w:cs="Arial"/>
          <w:b/>
          <w:i/>
        </w:rPr>
      </w:pPr>
    </w:p>
    <w:p w:rsidR="008045E6" w:rsidRPr="008045E6" w:rsidRDefault="008045E6" w:rsidP="008045E6">
      <w:pPr>
        <w:rPr>
          <w:rFonts w:ascii="Arial" w:hAnsi="Arial" w:cs="Arial"/>
          <w:b/>
          <w:i/>
        </w:rPr>
      </w:pPr>
      <w:r w:rsidRPr="008045E6">
        <w:rPr>
          <w:rFonts w:ascii="Arial" w:hAnsi="Arial" w:cs="Arial"/>
          <w:b/>
          <w:i/>
        </w:rPr>
        <w:lastRenderedPageBreak/>
        <w:t>Option 3    Assessment Methodology</w:t>
      </w:r>
    </w:p>
    <w:p w:rsidR="008045E6" w:rsidRDefault="008045E6" w:rsidP="008045E6">
      <w:pPr>
        <w:pStyle w:val="ListParagraph"/>
        <w:numPr>
          <w:ilvl w:val="0"/>
          <w:numId w:val="25"/>
        </w:numPr>
        <w:jc w:val="left"/>
      </w:pPr>
      <w:r>
        <w:t>In a similar fashion to option 2, the existing functions of all councils were analysed into activities, corporate support costs and governance costs.</w:t>
      </w:r>
    </w:p>
    <w:p w:rsidR="008045E6" w:rsidRDefault="008045E6" w:rsidP="008045E6">
      <w:pPr>
        <w:pStyle w:val="ListParagraph"/>
      </w:pPr>
    </w:p>
    <w:p w:rsidR="008045E6" w:rsidRDefault="008045E6" w:rsidP="008045E6">
      <w:pPr>
        <w:pStyle w:val="ListParagraph"/>
        <w:numPr>
          <w:ilvl w:val="0"/>
          <w:numId w:val="25"/>
        </w:numPr>
        <w:jc w:val="left"/>
      </w:pPr>
      <w:r>
        <w:t>Council activities were analysed, for both opex and capex, by</w:t>
      </w:r>
    </w:p>
    <w:p w:rsidR="008045E6" w:rsidRDefault="008045E6" w:rsidP="008045E6">
      <w:pPr>
        <w:pStyle w:val="ListParagraph"/>
      </w:pPr>
    </w:p>
    <w:p w:rsidR="008045E6" w:rsidRDefault="008045E6" w:rsidP="008045E6">
      <w:pPr>
        <w:pStyle w:val="ListParagraph"/>
        <w:numPr>
          <w:ilvl w:val="0"/>
          <w:numId w:val="26"/>
        </w:numPr>
        <w:jc w:val="left"/>
      </w:pPr>
      <w:r>
        <w:t xml:space="preserve">Community support activities </w:t>
      </w:r>
    </w:p>
    <w:p w:rsidR="008045E6" w:rsidRDefault="008045E6" w:rsidP="008045E6">
      <w:pPr>
        <w:pStyle w:val="ListParagraph"/>
        <w:numPr>
          <w:ilvl w:val="0"/>
          <w:numId w:val="26"/>
        </w:numPr>
        <w:jc w:val="left"/>
      </w:pPr>
      <w:r>
        <w:t>“Local regulatory” activities (as denoted above)</w:t>
      </w:r>
    </w:p>
    <w:p w:rsidR="008045E6" w:rsidRDefault="008045E6" w:rsidP="008045E6">
      <w:pPr>
        <w:pStyle w:val="ListParagraph"/>
        <w:numPr>
          <w:ilvl w:val="0"/>
          <w:numId w:val="26"/>
        </w:numPr>
        <w:jc w:val="left"/>
      </w:pPr>
      <w:r>
        <w:t>Solid waste</w:t>
      </w:r>
    </w:p>
    <w:p w:rsidR="008045E6" w:rsidRDefault="008045E6" w:rsidP="008045E6"/>
    <w:p w:rsidR="008045E6" w:rsidRDefault="008045E6" w:rsidP="008045E6">
      <w:pPr>
        <w:pStyle w:val="ListParagraph"/>
        <w:numPr>
          <w:ilvl w:val="0"/>
          <w:numId w:val="11"/>
        </w:numPr>
        <w:jc w:val="left"/>
      </w:pPr>
      <w:r>
        <w:t>To arrive at an appropriate expenditure base for council activities, we used Council LTPs for the 2012-22 period. For each activity opex we;</w:t>
      </w:r>
    </w:p>
    <w:p w:rsidR="008045E6" w:rsidRDefault="008045E6" w:rsidP="008045E6">
      <w:pPr>
        <w:pStyle w:val="ListParagraph"/>
        <w:jc w:val="left"/>
      </w:pPr>
    </w:p>
    <w:p w:rsidR="008045E6" w:rsidRDefault="008045E6" w:rsidP="008045E6">
      <w:pPr>
        <w:pStyle w:val="ListParagraph"/>
        <w:numPr>
          <w:ilvl w:val="0"/>
          <w:numId w:val="12"/>
        </w:numPr>
        <w:jc w:val="left"/>
      </w:pPr>
      <w:r>
        <w:t xml:space="preserve">Summed the 10 year payments to staff and suppliers as recorded in the forecast Funding Impact Statements. These payments exclude finance costs, depreciation and internal charges. The rationale for excluding finance costs and depreciation expenses is that these costs will be largely unaffected (at least for the foreseeable future) by any reorganisation proposal. </w:t>
      </w:r>
    </w:p>
    <w:p w:rsidR="008045E6" w:rsidRDefault="008045E6" w:rsidP="008045E6">
      <w:pPr>
        <w:pStyle w:val="ListParagraph"/>
        <w:ind w:left="1505"/>
        <w:jc w:val="left"/>
      </w:pPr>
    </w:p>
    <w:p w:rsidR="008045E6" w:rsidRDefault="008045E6" w:rsidP="008045E6">
      <w:pPr>
        <w:pStyle w:val="ListParagraph"/>
        <w:numPr>
          <w:ilvl w:val="0"/>
          <w:numId w:val="12"/>
        </w:numPr>
        <w:jc w:val="left"/>
      </w:pPr>
      <w:r>
        <w:t>Averaged the summation (total cost divided by 10 years)</w:t>
      </w:r>
    </w:p>
    <w:p w:rsidR="008045E6" w:rsidRDefault="008045E6" w:rsidP="008045E6">
      <w:pPr>
        <w:pStyle w:val="ListParagraph"/>
        <w:ind w:left="1505"/>
        <w:jc w:val="left"/>
      </w:pPr>
    </w:p>
    <w:p w:rsidR="008045E6" w:rsidRDefault="008045E6" w:rsidP="008045E6">
      <w:pPr>
        <w:pStyle w:val="ListParagraph"/>
        <w:numPr>
          <w:ilvl w:val="0"/>
          <w:numId w:val="12"/>
        </w:numPr>
        <w:jc w:val="left"/>
      </w:pPr>
      <w:r>
        <w:t>Discounted the average back to 2014 dollars using a 3% discount factor (reflecting the approximate inflation used in LTP preparation).</w:t>
      </w:r>
    </w:p>
    <w:p w:rsidR="008045E6" w:rsidRDefault="008045E6" w:rsidP="008045E6">
      <w:pPr>
        <w:pStyle w:val="ListParagraph"/>
        <w:ind w:left="1505"/>
        <w:jc w:val="left"/>
      </w:pPr>
    </w:p>
    <w:p w:rsidR="008045E6" w:rsidRDefault="008045E6" w:rsidP="008045E6">
      <w:pPr>
        <w:pStyle w:val="ListParagraph"/>
        <w:numPr>
          <w:ilvl w:val="0"/>
          <w:numId w:val="27"/>
        </w:numPr>
        <w:jc w:val="left"/>
      </w:pPr>
      <w:r>
        <w:t>A similar methodology was used for activity capex costs. Information was sourced from forecast Funding Impact Statement funding for capital expenditure.</w:t>
      </w:r>
    </w:p>
    <w:p w:rsidR="008045E6" w:rsidRDefault="008045E6" w:rsidP="008045E6"/>
    <w:p w:rsidR="008045E6" w:rsidRDefault="008045E6" w:rsidP="008045E6">
      <w:pPr>
        <w:pStyle w:val="ListParagraph"/>
        <w:numPr>
          <w:ilvl w:val="0"/>
          <w:numId w:val="27"/>
        </w:numPr>
        <w:jc w:val="left"/>
      </w:pPr>
      <w:r>
        <w:t>For regulatory activities it was not always possible to isolate “local” regulatory functions from District Planning and resource and building consenting. In these cases we assumed an even split of costs.</w:t>
      </w:r>
    </w:p>
    <w:p w:rsidR="008045E6" w:rsidRDefault="008045E6" w:rsidP="008045E6">
      <w:pPr>
        <w:pStyle w:val="ListParagraph"/>
      </w:pPr>
    </w:p>
    <w:p w:rsidR="008045E6" w:rsidRDefault="008045E6" w:rsidP="008045E6">
      <w:pPr>
        <w:pStyle w:val="ListParagraph"/>
        <w:numPr>
          <w:ilvl w:val="0"/>
          <w:numId w:val="27"/>
        </w:numPr>
        <w:jc w:val="left"/>
      </w:pPr>
      <w:r>
        <w:t>The rationale for using LTP forecast figures for activities, and averaging process, is that it overcomes the lumpiness that might occur if only one or two years were taken. The forecast figures were seen as a more appropriate base rather than historical figures, as these represent the councils’ intentions in the next 10 years</w:t>
      </w:r>
    </w:p>
    <w:p w:rsidR="008045E6" w:rsidRDefault="008045E6" w:rsidP="008045E6"/>
    <w:p w:rsidR="008045E6" w:rsidRDefault="008045E6" w:rsidP="008045E6">
      <w:pPr>
        <w:pStyle w:val="ListParagraph"/>
        <w:numPr>
          <w:ilvl w:val="0"/>
          <w:numId w:val="27"/>
        </w:numPr>
        <w:jc w:val="left"/>
      </w:pPr>
      <w:r>
        <w:t>Corporate support costs represent the payroll costs of support and internal services functions within councils. This information was supplied by each council to the Commission in April 2014. The information supplied was the budget figures for the 2013-14 financial year and also included the Full Time Equivalent (FTE) staff numbers as at 30 June 2013.</w:t>
      </w:r>
    </w:p>
    <w:p w:rsidR="008045E6" w:rsidRDefault="008045E6" w:rsidP="008045E6">
      <w:pPr>
        <w:pStyle w:val="ListParagraph"/>
      </w:pPr>
    </w:p>
    <w:p w:rsidR="008045E6" w:rsidRDefault="008045E6" w:rsidP="008045E6">
      <w:pPr>
        <w:pStyle w:val="ListParagraph"/>
        <w:numPr>
          <w:ilvl w:val="0"/>
          <w:numId w:val="27"/>
        </w:numPr>
        <w:jc w:val="left"/>
      </w:pPr>
      <w:r>
        <w:t>Governance costs represent the elected members, mayoral and CEO remuneration as identified in the 2012-13 annual reports of each council. In this option we also included the annual audit of each council and a proportion of the costs of auditing the LTPs (prepared triennially). The audit costs were also sourced from Council annual reports for 2012-13.</w:t>
      </w:r>
    </w:p>
    <w:p w:rsidR="008045E6" w:rsidRDefault="008045E6" w:rsidP="008045E6">
      <w:pPr>
        <w:pStyle w:val="ListParagraph"/>
      </w:pPr>
    </w:p>
    <w:p w:rsidR="008045E6" w:rsidRPr="008045E6" w:rsidRDefault="008045E6" w:rsidP="008045E6">
      <w:pPr>
        <w:pStyle w:val="NoSpacing"/>
        <w:numPr>
          <w:ilvl w:val="0"/>
          <w:numId w:val="27"/>
        </w:numPr>
        <w:rPr>
          <w:rFonts w:ascii="Arial" w:hAnsi="Arial" w:cs="Arial"/>
        </w:rPr>
      </w:pPr>
      <w:r w:rsidRPr="008045E6">
        <w:rPr>
          <w:rFonts w:ascii="Arial" w:hAnsi="Arial" w:cs="Arial"/>
        </w:rPr>
        <w:t>We made the assumption, under this option, that the three existing Wairarapa district councils – Carterton, South Wairarapa and Masterton would amalgamate. The rationale for this assumption was that if the existing councils were to be retained, the costs of corporate support and governance would be high in proportion to the quantum and number of activities administered. Our analysis indicated that, if the three existing Wairarapa councils were retained, yearly corporate and governance costs could be as high as 40-50% of the yearly payments made to staff and suppliers for the activities administered by the two smallest Wairarapa councils.</w:t>
      </w:r>
    </w:p>
    <w:p w:rsidR="008045E6" w:rsidRDefault="008045E6" w:rsidP="008045E6">
      <w:pPr>
        <w:pStyle w:val="ListParagraph"/>
        <w:jc w:val="left"/>
      </w:pPr>
    </w:p>
    <w:p w:rsidR="008045E6" w:rsidRDefault="008045E6" w:rsidP="008045E6">
      <w:pPr>
        <w:pStyle w:val="NoSpacing"/>
        <w:rPr>
          <w:rFonts w:ascii="Arial" w:hAnsi="Arial" w:cs="Arial"/>
        </w:rPr>
      </w:pPr>
    </w:p>
    <w:p w:rsidR="008045E6" w:rsidRPr="008045E6" w:rsidRDefault="008045E6" w:rsidP="008045E6">
      <w:pPr>
        <w:rPr>
          <w:rFonts w:ascii="Arial" w:hAnsi="Arial" w:cs="Arial"/>
          <w:b/>
          <w:i/>
        </w:rPr>
      </w:pPr>
    </w:p>
    <w:p w:rsidR="008045E6" w:rsidRPr="008045E6" w:rsidRDefault="008045E6" w:rsidP="008045E6">
      <w:pPr>
        <w:rPr>
          <w:rFonts w:ascii="Arial" w:hAnsi="Arial" w:cs="Arial"/>
          <w:b/>
          <w:i/>
        </w:rPr>
      </w:pPr>
      <w:r w:rsidRPr="008045E6">
        <w:rPr>
          <w:rFonts w:ascii="Arial" w:hAnsi="Arial" w:cs="Arial"/>
          <w:b/>
          <w:i/>
        </w:rPr>
        <w:t>Option3 - Assumptions on Potential Savings</w:t>
      </w:r>
    </w:p>
    <w:p w:rsidR="008045E6" w:rsidRDefault="008045E6" w:rsidP="008045E6">
      <w:pPr>
        <w:pStyle w:val="ListParagraph"/>
        <w:numPr>
          <w:ilvl w:val="0"/>
          <w:numId w:val="28"/>
        </w:numPr>
        <w:jc w:val="left"/>
        <w:rPr>
          <w:i/>
        </w:rPr>
      </w:pPr>
      <w:r w:rsidRPr="008D0FBA">
        <w:rPr>
          <w:i/>
        </w:rPr>
        <w:t xml:space="preserve">Assumptions of </w:t>
      </w:r>
      <w:r w:rsidR="0034244F">
        <w:rPr>
          <w:i/>
        </w:rPr>
        <w:t xml:space="preserve">potential </w:t>
      </w:r>
      <w:r w:rsidRPr="008D0FBA">
        <w:rPr>
          <w:i/>
        </w:rPr>
        <w:t>savings for Council activities</w:t>
      </w:r>
    </w:p>
    <w:p w:rsidR="008045E6" w:rsidRDefault="008045E6" w:rsidP="008045E6">
      <w:pPr>
        <w:rPr>
          <w:i/>
        </w:rPr>
      </w:pPr>
    </w:p>
    <w:p w:rsidR="008045E6" w:rsidRDefault="008045E6" w:rsidP="008045E6">
      <w:pPr>
        <w:pStyle w:val="ListParagraph"/>
        <w:numPr>
          <w:ilvl w:val="0"/>
          <w:numId w:val="29"/>
        </w:numPr>
        <w:jc w:val="left"/>
      </w:pPr>
      <w:r>
        <w:t>We assumed that there would no savings on remaining activities carried out territorial councils. This applies to both opex and capex. The rationale is that the councils have a reduced activity portfolio and savings on a lower expenditure base will be difficult to achieve.</w:t>
      </w:r>
    </w:p>
    <w:p w:rsidR="008045E6" w:rsidRDefault="008045E6" w:rsidP="008045E6"/>
    <w:p w:rsidR="008045E6" w:rsidRDefault="008045E6" w:rsidP="008045E6">
      <w:pPr>
        <w:pStyle w:val="ListParagraph"/>
        <w:numPr>
          <w:ilvl w:val="0"/>
          <w:numId w:val="29"/>
        </w:numPr>
        <w:jc w:val="left"/>
      </w:pPr>
      <w:r>
        <w:t>For the enlarged regional council, no opex or capex savings are assumed for the following activities;</w:t>
      </w:r>
    </w:p>
    <w:p w:rsidR="008045E6" w:rsidRDefault="008045E6" w:rsidP="008045E6">
      <w:pPr>
        <w:pStyle w:val="ListParagraph"/>
      </w:pPr>
    </w:p>
    <w:p w:rsidR="008045E6" w:rsidRDefault="008045E6" w:rsidP="008045E6">
      <w:pPr>
        <w:pStyle w:val="ListParagraph"/>
        <w:numPr>
          <w:ilvl w:val="0"/>
          <w:numId w:val="30"/>
        </w:numPr>
        <w:jc w:val="left"/>
      </w:pPr>
      <w:r>
        <w:t>Public Transport</w:t>
      </w:r>
    </w:p>
    <w:p w:rsidR="008045E6" w:rsidRDefault="008045E6" w:rsidP="008045E6">
      <w:pPr>
        <w:pStyle w:val="ListParagraph"/>
        <w:numPr>
          <w:ilvl w:val="0"/>
          <w:numId w:val="30"/>
        </w:numPr>
        <w:jc w:val="left"/>
      </w:pPr>
      <w:r>
        <w:t>Environment</w:t>
      </w:r>
    </w:p>
    <w:p w:rsidR="008045E6" w:rsidRDefault="008045E6" w:rsidP="008045E6">
      <w:pPr>
        <w:pStyle w:val="ListParagraph"/>
        <w:numPr>
          <w:ilvl w:val="0"/>
          <w:numId w:val="30"/>
        </w:numPr>
        <w:jc w:val="left"/>
      </w:pPr>
      <w:r>
        <w:t>Economic Development</w:t>
      </w:r>
    </w:p>
    <w:p w:rsidR="008045E6" w:rsidRDefault="008045E6" w:rsidP="008045E6">
      <w:pPr>
        <w:pStyle w:val="ListParagraph"/>
        <w:numPr>
          <w:ilvl w:val="0"/>
          <w:numId w:val="30"/>
        </w:numPr>
        <w:jc w:val="left"/>
      </w:pPr>
      <w:r>
        <w:t>Flood Protection</w:t>
      </w:r>
    </w:p>
    <w:p w:rsidR="008045E6" w:rsidRDefault="008045E6" w:rsidP="008045E6">
      <w:pPr>
        <w:pStyle w:val="ListParagraph"/>
        <w:numPr>
          <w:ilvl w:val="0"/>
          <w:numId w:val="30"/>
        </w:numPr>
        <w:jc w:val="left"/>
      </w:pPr>
      <w:r>
        <w:t>Regional Parks</w:t>
      </w:r>
    </w:p>
    <w:p w:rsidR="008045E6" w:rsidRDefault="008045E6" w:rsidP="008045E6">
      <w:r>
        <w:t>;</w:t>
      </w:r>
    </w:p>
    <w:p w:rsidR="008045E6" w:rsidRDefault="008045E6" w:rsidP="008045E6">
      <w:pPr>
        <w:pStyle w:val="ListParagraph"/>
        <w:numPr>
          <w:ilvl w:val="0"/>
          <w:numId w:val="31"/>
        </w:numPr>
        <w:jc w:val="left"/>
      </w:pPr>
      <w:r>
        <w:t>For the enlarged regional council, savings are assumed for the following activities;</w:t>
      </w:r>
    </w:p>
    <w:p w:rsidR="008045E6" w:rsidRDefault="008045E6" w:rsidP="008045E6">
      <w:pPr>
        <w:pStyle w:val="ListParagraph"/>
        <w:jc w:val="left"/>
      </w:pPr>
    </w:p>
    <w:p w:rsidR="008045E6" w:rsidRDefault="008045E6" w:rsidP="008045E6">
      <w:pPr>
        <w:pStyle w:val="ListParagraph"/>
        <w:numPr>
          <w:ilvl w:val="0"/>
          <w:numId w:val="32"/>
        </w:numPr>
        <w:jc w:val="left"/>
      </w:pPr>
      <w:r>
        <w:t>Roading -  graduated savings of 1% by year 4 on base expenditure savings (both opex and capex)</w:t>
      </w:r>
    </w:p>
    <w:p w:rsidR="0034244F" w:rsidRDefault="0034244F" w:rsidP="0034244F">
      <w:pPr>
        <w:pStyle w:val="ListParagraph"/>
        <w:ind w:left="1440"/>
        <w:jc w:val="left"/>
      </w:pPr>
    </w:p>
    <w:p w:rsidR="008045E6" w:rsidRDefault="008045E6" w:rsidP="008045E6">
      <w:pPr>
        <w:pStyle w:val="ListParagraph"/>
        <w:numPr>
          <w:ilvl w:val="0"/>
          <w:numId w:val="32"/>
        </w:numPr>
        <w:jc w:val="left"/>
      </w:pPr>
      <w:r>
        <w:t>Three waters – graduated savings by year 4 of 2% on opex and 1% on capex</w:t>
      </w:r>
    </w:p>
    <w:p w:rsidR="0034244F" w:rsidRDefault="0034244F" w:rsidP="0034244F"/>
    <w:p w:rsidR="008045E6" w:rsidRDefault="008045E6" w:rsidP="008045E6">
      <w:pPr>
        <w:pStyle w:val="ListParagraph"/>
        <w:numPr>
          <w:ilvl w:val="0"/>
          <w:numId w:val="32"/>
        </w:numPr>
        <w:jc w:val="left"/>
      </w:pPr>
      <w:r>
        <w:t>Regulatory (regional functions) – graduated savings on opex of 5% by year 4</w:t>
      </w:r>
    </w:p>
    <w:p w:rsidR="008045E6" w:rsidRDefault="008045E6" w:rsidP="008045E6">
      <w:pPr>
        <w:pStyle w:val="ListParagraph"/>
        <w:ind w:left="1440"/>
        <w:jc w:val="left"/>
      </w:pPr>
    </w:p>
    <w:p w:rsidR="008045E6" w:rsidRDefault="008045E6" w:rsidP="008045E6"/>
    <w:p w:rsidR="008045E6" w:rsidRDefault="008045E6" w:rsidP="0034244F">
      <w:pPr>
        <w:pStyle w:val="ListParagraph"/>
        <w:numPr>
          <w:ilvl w:val="0"/>
          <w:numId w:val="28"/>
        </w:numPr>
        <w:jc w:val="left"/>
        <w:rPr>
          <w:i/>
        </w:rPr>
      </w:pPr>
      <w:r w:rsidRPr="002A68CD">
        <w:rPr>
          <w:i/>
        </w:rPr>
        <w:t>Assumptions of savings for Council Corporate Support Costs</w:t>
      </w:r>
    </w:p>
    <w:p w:rsidR="003606D5" w:rsidRPr="0034244F" w:rsidRDefault="003606D5" w:rsidP="003606D5">
      <w:pPr>
        <w:pStyle w:val="ListParagraph"/>
        <w:jc w:val="left"/>
        <w:rPr>
          <w:i/>
        </w:rPr>
      </w:pPr>
    </w:p>
    <w:p w:rsidR="003606D5" w:rsidRDefault="003606D5" w:rsidP="003606D5">
      <w:pPr>
        <w:pStyle w:val="ListParagraph"/>
        <w:jc w:val="left"/>
        <w:rPr>
          <w:i/>
        </w:rPr>
      </w:pPr>
      <w:r>
        <w:rPr>
          <w:i/>
        </w:rPr>
        <w:t xml:space="preserve">Table 10   </w:t>
      </w:r>
      <w:r w:rsidRPr="003606D5">
        <w:rPr>
          <w:i/>
        </w:rPr>
        <w:t>Option 3</w:t>
      </w:r>
      <w:r>
        <w:t xml:space="preserve"> - </w:t>
      </w:r>
      <w:r w:rsidRPr="002A68CD">
        <w:rPr>
          <w:i/>
        </w:rPr>
        <w:t>Assumptions of savings for Council Corporate Support Costs</w:t>
      </w:r>
    </w:p>
    <w:p w:rsidR="008045E6" w:rsidRDefault="008045E6" w:rsidP="008045E6">
      <w:pPr>
        <w:pStyle w:val="ListParagraph"/>
        <w:jc w:val="left"/>
      </w:pPr>
    </w:p>
    <w:p w:rsidR="008045E6" w:rsidRDefault="008045E6" w:rsidP="008045E6">
      <w:pPr>
        <w:pStyle w:val="ListParagraph"/>
        <w:jc w:val="left"/>
      </w:pPr>
      <w:r w:rsidRPr="002A68CD">
        <w:rPr>
          <w:noProof/>
          <w:lang w:val="en-NZ" w:eastAsia="en-NZ"/>
        </w:rPr>
        <w:drawing>
          <wp:inline distT="0" distB="0" distL="0" distR="0" wp14:anchorId="4C5194BC" wp14:editId="70C3DDD7">
            <wp:extent cx="6156960" cy="220281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6960" cy="2202815"/>
                    </a:xfrm>
                    <a:prstGeom prst="rect">
                      <a:avLst/>
                    </a:prstGeom>
                    <a:noFill/>
                    <a:ln>
                      <a:noFill/>
                    </a:ln>
                  </pic:spPr>
                </pic:pic>
              </a:graphicData>
            </a:graphic>
          </wp:inline>
        </w:drawing>
      </w:r>
    </w:p>
    <w:p w:rsidR="008045E6" w:rsidRDefault="008045E6" w:rsidP="008045E6">
      <w:pPr>
        <w:pStyle w:val="ListParagraph"/>
        <w:jc w:val="left"/>
      </w:pPr>
    </w:p>
    <w:p w:rsidR="008045E6" w:rsidRDefault="008045E6" w:rsidP="008045E6">
      <w:pPr>
        <w:pStyle w:val="ListParagraph"/>
        <w:jc w:val="left"/>
      </w:pPr>
      <w:r>
        <w:t>The above assessment assumes there will be a significant reduction in corporate support FTEs needed for territorial councils because of the reduced number of activities, and a moderate increase needed for the enlarged regional council b</w:t>
      </w:r>
      <w:r w:rsidR="0034244F">
        <w:t>ecause of the inclusion of all t</w:t>
      </w:r>
      <w:r>
        <w:t>ransportation and the three waters activities.</w:t>
      </w:r>
    </w:p>
    <w:p w:rsidR="008045E6" w:rsidRDefault="008045E6" w:rsidP="008045E6">
      <w:pPr>
        <w:pStyle w:val="ListParagraph"/>
        <w:jc w:val="left"/>
      </w:pPr>
    </w:p>
    <w:p w:rsidR="008045E6" w:rsidRDefault="008045E6" w:rsidP="008045E6">
      <w:pPr>
        <w:pStyle w:val="ListParagraph"/>
        <w:jc w:val="left"/>
      </w:pPr>
      <w:r>
        <w:t xml:space="preserve">Also, as </w:t>
      </w:r>
      <w:r w:rsidR="0034244F">
        <w:t>noted previously</w:t>
      </w:r>
      <w:r>
        <w:t>, the regional council will be responsible for collecting rates on behalf of the territorial councils.</w:t>
      </w:r>
    </w:p>
    <w:p w:rsidR="008045E6" w:rsidRDefault="008045E6" w:rsidP="008045E6">
      <w:pPr>
        <w:pStyle w:val="ListParagraph"/>
        <w:jc w:val="left"/>
      </w:pPr>
    </w:p>
    <w:p w:rsidR="008045E6" w:rsidRDefault="008045E6" w:rsidP="008045E6">
      <w:pPr>
        <w:pStyle w:val="ListParagraph"/>
        <w:jc w:val="left"/>
      </w:pPr>
      <w:r>
        <w:lastRenderedPageBreak/>
        <w:t xml:space="preserve">The greatest reduction is Wellington City with an anticipated reduction of nearly 300s FTEs at a long term </w:t>
      </w:r>
      <w:r w:rsidR="0034244F">
        <w:t>annual saving of $20 million</w:t>
      </w:r>
      <w:r>
        <w:t>.</w:t>
      </w:r>
    </w:p>
    <w:p w:rsidR="008045E6" w:rsidRDefault="008045E6" w:rsidP="008045E6">
      <w:pPr>
        <w:pStyle w:val="ListParagraph"/>
        <w:jc w:val="left"/>
      </w:pPr>
    </w:p>
    <w:p w:rsidR="008045E6" w:rsidRDefault="008045E6" w:rsidP="008045E6">
      <w:pPr>
        <w:pStyle w:val="NoSpacing"/>
        <w:rPr>
          <w:rFonts w:ascii="Arial" w:hAnsi="Arial" w:cs="Arial"/>
        </w:rPr>
      </w:pPr>
    </w:p>
    <w:p w:rsidR="0034244F" w:rsidRPr="0034244F" w:rsidRDefault="0034244F" w:rsidP="0034244F">
      <w:pPr>
        <w:numPr>
          <w:ilvl w:val="0"/>
          <w:numId w:val="28"/>
        </w:numPr>
        <w:spacing w:after="0" w:line="240" w:lineRule="auto"/>
        <w:contextualSpacing/>
        <w:jc w:val="both"/>
        <w:rPr>
          <w:rFonts w:ascii="Arial" w:eastAsia="MS ??" w:hAnsi="Arial" w:cs="Times New Roman"/>
          <w:i/>
          <w:szCs w:val="20"/>
          <w:lang w:val="en-AU" w:eastAsia="ja-JP"/>
        </w:rPr>
      </w:pPr>
      <w:r w:rsidRPr="0034244F">
        <w:rPr>
          <w:rFonts w:ascii="Arial" w:eastAsia="MS ??" w:hAnsi="Arial" w:cs="Times New Roman"/>
          <w:i/>
          <w:szCs w:val="20"/>
          <w:lang w:val="en-AU" w:eastAsia="ja-JP"/>
        </w:rPr>
        <w:t>Assumptions of savings for Council Governance Costs</w:t>
      </w:r>
    </w:p>
    <w:p w:rsidR="0034244F" w:rsidRPr="0034244F" w:rsidRDefault="0034244F" w:rsidP="0034244F">
      <w:pPr>
        <w:spacing w:after="0" w:line="240" w:lineRule="auto"/>
        <w:rPr>
          <w:rFonts w:ascii="Arial" w:eastAsia="MS ??" w:hAnsi="Arial" w:cs="Times New Roman"/>
          <w:b/>
          <w:szCs w:val="20"/>
          <w:lang w:val="en-AU" w:eastAsia="ja-JP"/>
        </w:rPr>
      </w:pPr>
    </w:p>
    <w:p w:rsidR="003606D5" w:rsidRPr="0034244F" w:rsidRDefault="003606D5" w:rsidP="003606D5">
      <w:pPr>
        <w:spacing w:after="0" w:line="240" w:lineRule="auto"/>
        <w:contextualSpacing/>
        <w:jc w:val="both"/>
        <w:rPr>
          <w:rFonts w:ascii="Arial" w:eastAsia="MS ??" w:hAnsi="Arial" w:cs="Times New Roman"/>
          <w:i/>
          <w:szCs w:val="20"/>
          <w:lang w:val="en-AU" w:eastAsia="ja-JP"/>
        </w:rPr>
      </w:pPr>
      <w:r w:rsidRPr="003606D5">
        <w:rPr>
          <w:rFonts w:ascii="Arial" w:eastAsia="MS ??" w:hAnsi="Arial" w:cs="Times New Roman"/>
          <w:i/>
          <w:szCs w:val="20"/>
          <w:lang w:val="en-AU" w:eastAsia="ja-JP"/>
        </w:rPr>
        <w:t xml:space="preserve">Table 11 </w:t>
      </w:r>
      <w:r>
        <w:rPr>
          <w:rFonts w:ascii="Arial" w:eastAsia="MS ??" w:hAnsi="Arial" w:cs="Times New Roman"/>
          <w:i/>
          <w:szCs w:val="20"/>
          <w:lang w:val="en-AU" w:eastAsia="ja-JP"/>
        </w:rPr>
        <w:t xml:space="preserve">   </w:t>
      </w:r>
      <w:r w:rsidRPr="003606D5">
        <w:rPr>
          <w:rFonts w:ascii="Arial" w:eastAsia="MS ??" w:hAnsi="Arial" w:cs="Times New Roman"/>
          <w:i/>
          <w:szCs w:val="20"/>
          <w:lang w:val="en-AU" w:eastAsia="ja-JP"/>
        </w:rPr>
        <w:t xml:space="preserve"> Option 3</w:t>
      </w:r>
      <w:r>
        <w:rPr>
          <w:rFonts w:ascii="Arial" w:eastAsia="MS ??" w:hAnsi="Arial" w:cs="Times New Roman"/>
          <w:b/>
          <w:szCs w:val="20"/>
          <w:lang w:val="en-AU" w:eastAsia="ja-JP"/>
        </w:rPr>
        <w:t xml:space="preserve"> </w:t>
      </w:r>
      <w:r w:rsidR="0065222E">
        <w:rPr>
          <w:rFonts w:ascii="Arial" w:eastAsia="MS ??" w:hAnsi="Arial" w:cs="Times New Roman"/>
          <w:b/>
          <w:szCs w:val="20"/>
          <w:lang w:val="en-AU" w:eastAsia="ja-JP"/>
        </w:rPr>
        <w:t xml:space="preserve">  </w:t>
      </w:r>
      <w:r w:rsidRPr="0034244F">
        <w:rPr>
          <w:rFonts w:ascii="Arial" w:eastAsia="MS ??" w:hAnsi="Arial" w:cs="Times New Roman"/>
          <w:i/>
          <w:szCs w:val="20"/>
          <w:lang w:val="en-AU" w:eastAsia="ja-JP"/>
        </w:rPr>
        <w:t>Assumptions of savings for Council Governance Costs</w:t>
      </w:r>
    </w:p>
    <w:p w:rsidR="0034244F" w:rsidRPr="0034244F" w:rsidRDefault="0034244F" w:rsidP="0034244F">
      <w:pPr>
        <w:spacing w:after="0" w:line="240" w:lineRule="auto"/>
        <w:rPr>
          <w:rFonts w:ascii="Arial" w:eastAsia="MS ??" w:hAnsi="Arial" w:cs="Times New Roman"/>
          <w:b/>
          <w:szCs w:val="20"/>
          <w:lang w:val="en-AU" w:eastAsia="ja-JP"/>
        </w:rPr>
      </w:pPr>
    </w:p>
    <w:p w:rsidR="0034244F" w:rsidRPr="0034244F" w:rsidRDefault="0034244F" w:rsidP="0034244F">
      <w:pPr>
        <w:spacing w:after="0" w:line="240" w:lineRule="auto"/>
        <w:rPr>
          <w:rFonts w:ascii="Arial" w:eastAsia="MS ??" w:hAnsi="Arial" w:cs="Times New Roman"/>
          <w:b/>
          <w:szCs w:val="20"/>
          <w:lang w:val="en-AU" w:eastAsia="ja-JP"/>
        </w:rPr>
      </w:pPr>
      <w:r w:rsidRPr="0034244F">
        <w:rPr>
          <w:rFonts w:ascii="Arial" w:eastAsia="MS ??" w:hAnsi="Arial" w:cs="Times New Roman"/>
          <w:noProof/>
          <w:szCs w:val="20"/>
          <w:lang w:eastAsia="en-NZ"/>
        </w:rPr>
        <w:drawing>
          <wp:inline distT="0" distB="0" distL="0" distR="0" wp14:anchorId="3D7DBC70" wp14:editId="1BB2F56C">
            <wp:extent cx="5349240" cy="202247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9240" cy="2022475"/>
                    </a:xfrm>
                    <a:prstGeom prst="rect">
                      <a:avLst/>
                    </a:prstGeom>
                    <a:noFill/>
                    <a:ln>
                      <a:noFill/>
                    </a:ln>
                  </pic:spPr>
                </pic:pic>
              </a:graphicData>
            </a:graphic>
          </wp:inline>
        </w:drawing>
      </w:r>
    </w:p>
    <w:p w:rsidR="0034244F" w:rsidRPr="0034244F" w:rsidRDefault="0034244F" w:rsidP="0034244F">
      <w:pPr>
        <w:spacing w:after="0" w:line="240" w:lineRule="auto"/>
        <w:rPr>
          <w:rFonts w:ascii="Arial" w:eastAsia="MS ??" w:hAnsi="Arial" w:cs="Times New Roman"/>
          <w:b/>
          <w:szCs w:val="20"/>
          <w:lang w:val="en-AU" w:eastAsia="ja-JP"/>
        </w:rPr>
      </w:pPr>
    </w:p>
    <w:p w:rsidR="0034244F" w:rsidRPr="0034244F" w:rsidRDefault="0034244F" w:rsidP="0034244F">
      <w:pPr>
        <w:spacing w:after="0" w:line="240" w:lineRule="auto"/>
        <w:rPr>
          <w:rFonts w:ascii="Arial" w:eastAsia="MS ??" w:hAnsi="Arial" w:cs="Times New Roman"/>
          <w:b/>
          <w:szCs w:val="20"/>
          <w:lang w:val="en-AU" w:eastAsia="ja-JP"/>
        </w:rPr>
      </w:pPr>
    </w:p>
    <w:p w:rsidR="0034244F" w:rsidRPr="0034244F" w:rsidRDefault="0034244F" w:rsidP="0034244F">
      <w:pPr>
        <w:spacing w:after="0" w:line="240" w:lineRule="auto"/>
        <w:rPr>
          <w:rFonts w:ascii="Arial" w:eastAsia="MS ??" w:hAnsi="Arial" w:cs="Times New Roman"/>
          <w:szCs w:val="20"/>
          <w:lang w:val="en-AU" w:eastAsia="ja-JP"/>
        </w:rPr>
      </w:pPr>
      <w:r w:rsidRPr="0034244F">
        <w:rPr>
          <w:rFonts w:ascii="Arial" w:eastAsia="MS ??" w:hAnsi="Arial" w:cs="Times New Roman"/>
          <w:szCs w:val="20"/>
          <w:lang w:val="en-AU" w:eastAsia="ja-JP"/>
        </w:rPr>
        <w:t>We assumed that each territorial council will have a Mayor, an elected council and no local boards.</w:t>
      </w:r>
    </w:p>
    <w:p w:rsidR="0034244F" w:rsidRPr="0034244F" w:rsidRDefault="0034244F" w:rsidP="0034244F">
      <w:pPr>
        <w:spacing w:after="0" w:line="240" w:lineRule="auto"/>
        <w:rPr>
          <w:rFonts w:ascii="Arial" w:eastAsia="MS ??" w:hAnsi="Arial" w:cs="Times New Roman"/>
          <w:szCs w:val="20"/>
          <w:lang w:val="en-AU" w:eastAsia="ja-JP"/>
        </w:rPr>
      </w:pPr>
    </w:p>
    <w:p w:rsidR="0034244F" w:rsidRPr="0034244F" w:rsidRDefault="0034244F" w:rsidP="0034244F">
      <w:pPr>
        <w:spacing w:after="0" w:line="240" w:lineRule="auto"/>
        <w:rPr>
          <w:rFonts w:ascii="Arial" w:eastAsia="MS ??" w:hAnsi="Arial" w:cs="Times New Roman"/>
          <w:szCs w:val="20"/>
          <w:lang w:val="en-AU" w:eastAsia="ja-JP"/>
        </w:rPr>
      </w:pPr>
      <w:r w:rsidRPr="0034244F">
        <w:rPr>
          <w:rFonts w:ascii="Arial" w:eastAsia="MS ??" w:hAnsi="Arial" w:cs="Times New Roman"/>
          <w:szCs w:val="20"/>
          <w:lang w:val="en-AU" w:eastAsia="ja-JP"/>
        </w:rPr>
        <w:t>The Mayoral yearly remuneration will vary from $70k to $120k; the elected councils will vary from 6 members for the smaller councils to 14 c</w:t>
      </w:r>
      <w:r w:rsidR="00825510">
        <w:rPr>
          <w:rFonts w:ascii="Arial" w:eastAsia="MS ??" w:hAnsi="Arial" w:cs="Times New Roman"/>
          <w:szCs w:val="20"/>
          <w:lang w:val="en-AU" w:eastAsia="ja-JP"/>
        </w:rPr>
        <w:t xml:space="preserve">ouncillors for Wellington City. </w:t>
      </w:r>
      <w:r w:rsidRPr="0034244F">
        <w:rPr>
          <w:rFonts w:ascii="Arial" w:eastAsia="MS ??" w:hAnsi="Arial" w:cs="Times New Roman"/>
          <w:szCs w:val="20"/>
          <w:lang w:val="en-AU" w:eastAsia="ja-JP"/>
        </w:rPr>
        <w:t>The enlarged regional council will have 20 members and a Chair at an assumed yearly remuneration of $200k.</w:t>
      </w:r>
    </w:p>
    <w:p w:rsidR="0034244F" w:rsidRPr="0034244F" w:rsidRDefault="0034244F" w:rsidP="0034244F">
      <w:pPr>
        <w:spacing w:after="0" w:line="240" w:lineRule="auto"/>
        <w:rPr>
          <w:rFonts w:ascii="Arial" w:eastAsia="MS ??" w:hAnsi="Arial" w:cs="Times New Roman"/>
          <w:szCs w:val="20"/>
          <w:lang w:val="en-AU" w:eastAsia="ja-JP"/>
        </w:rPr>
      </w:pPr>
    </w:p>
    <w:p w:rsidR="0034244F" w:rsidRPr="0034244F" w:rsidRDefault="0034244F" w:rsidP="0034244F">
      <w:pPr>
        <w:spacing w:after="0" w:line="240" w:lineRule="auto"/>
        <w:rPr>
          <w:rFonts w:ascii="Arial" w:eastAsia="MS ??" w:hAnsi="Arial" w:cs="Times New Roman"/>
          <w:szCs w:val="20"/>
          <w:lang w:val="en-AU" w:eastAsia="ja-JP"/>
        </w:rPr>
      </w:pPr>
      <w:r w:rsidRPr="0034244F">
        <w:rPr>
          <w:rFonts w:ascii="Arial" w:eastAsia="MS ??" w:hAnsi="Arial" w:cs="Times New Roman"/>
          <w:szCs w:val="20"/>
          <w:lang w:val="en-AU" w:eastAsia="ja-JP"/>
        </w:rPr>
        <w:t>The assumed CEOs remuneration ranges from $200k to $450k.</w:t>
      </w:r>
    </w:p>
    <w:p w:rsidR="0034244F" w:rsidRPr="0034244F" w:rsidRDefault="0034244F" w:rsidP="0034244F">
      <w:pPr>
        <w:spacing w:after="0" w:line="240" w:lineRule="auto"/>
        <w:rPr>
          <w:rFonts w:ascii="Arial" w:eastAsia="MS ??" w:hAnsi="Arial" w:cs="Times New Roman"/>
          <w:szCs w:val="20"/>
          <w:lang w:val="en-AU" w:eastAsia="ja-JP"/>
        </w:rPr>
      </w:pPr>
    </w:p>
    <w:p w:rsidR="0034244F" w:rsidRPr="0034244F" w:rsidRDefault="0034244F" w:rsidP="0034244F">
      <w:pPr>
        <w:spacing w:after="0" w:line="240" w:lineRule="auto"/>
        <w:rPr>
          <w:rFonts w:ascii="Arial" w:eastAsia="MS ??" w:hAnsi="Arial" w:cs="Times New Roman"/>
          <w:szCs w:val="20"/>
          <w:lang w:val="en-AU" w:eastAsia="ja-JP"/>
        </w:rPr>
      </w:pPr>
      <w:r w:rsidRPr="0034244F">
        <w:rPr>
          <w:rFonts w:ascii="Arial" w:eastAsia="MS ??" w:hAnsi="Arial" w:cs="Times New Roman"/>
          <w:szCs w:val="20"/>
          <w:lang w:val="en-AU" w:eastAsia="ja-JP"/>
        </w:rPr>
        <w:t>Audit costs are based on a reduced number and quantum of activities for both the annual audit and the LTP audits for territorial councils but an increase for the enlarged regional council.</w:t>
      </w:r>
    </w:p>
    <w:p w:rsidR="0034244F" w:rsidRDefault="0034244F" w:rsidP="008045E6">
      <w:pPr>
        <w:pStyle w:val="NoSpacing"/>
        <w:rPr>
          <w:rFonts w:ascii="Arial" w:hAnsi="Arial" w:cs="Arial"/>
        </w:rPr>
      </w:pPr>
    </w:p>
    <w:p w:rsidR="00825510" w:rsidRDefault="00825510" w:rsidP="008045E6">
      <w:pPr>
        <w:pStyle w:val="NoSpacing"/>
        <w:rPr>
          <w:rFonts w:ascii="Arial" w:hAnsi="Arial" w:cs="Arial"/>
        </w:rPr>
      </w:pPr>
    </w:p>
    <w:p w:rsidR="00825510" w:rsidRDefault="00825510" w:rsidP="008045E6">
      <w:pPr>
        <w:pStyle w:val="NoSpacing"/>
        <w:rPr>
          <w:rFonts w:ascii="Arial" w:hAnsi="Arial" w:cs="Arial"/>
          <w:b/>
          <w:i/>
        </w:rPr>
      </w:pPr>
      <w:r w:rsidRPr="00825510">
        <w:rPr>
          <w:rFonts w:ascii="Arial" w:hAnsi="Arial" w:cs="Arial"/>
          <w:b/>
          <w:i/>
        </w:rPr>
        <w:t>Option 3   Summary of Assessed Yearly savings</w:t>
      </w:r>
    </w:p>
    <w:p w:rsidR="00825510" w:rsidRDefault="00825510" w:rsidP="008045E6">
      <w:pPr>
        <w:pStyle w:val="NoSpacing"/>
        <w:rPr>
          <w:rFonts w:ascii="Arial" w:hAnsi="Arial" w:cs="Arial"/>
          <w:b/>
          <w:i/>
        </w:rPr>
      </w:pPr>
    </w:p>
    <w:p w:rsidR="00E14B0A" w:rsidRPr="003606D5" w:rsidRDefault="00825510" w:rsidP="008045E6">
      <w:pPr>
        <w:pStyle w:val="NoSpacing"/>
        <w:rPr>
          <w:rFonts w:ascii="Arial" w:eastAsia="MS ??" w:hAnsi="Arial" w:cs="Times New Roman"/>
          <w:noProof/>
          <w:szCs w:val="20"/>
          <w:lang w:eastAsia="en-NZ"/>
        </w:rPr>
      </w:pPr>
      <w:r w:rsidRPr="003606D5">
        <w:rPr>
          <w:rFonts w:ascii="Arial" w:hAnsi="Arial" w:cs="Arial"/>
          <w:i/>
        </w:rPr>
        <w:t>Table</w:t>
      </w:r>
      <w:r w:rsidR="003606D5" w:rsidRPr="003606D5">
        <w:rPr>
          <w:rFonts w:ascii="Arial" w:hAnsi="Arial" w:cs="Arial"/>
          <w:i/>
        </w:rPr>
        <w:t xml:space="preserve"> 12 </w:t>
      </w:r>
      <w:r w:rsidRPr="003606D5">
        <w:rPr>
          <w:rFonts w:ascii="Arial" w:hAnsi="Arial" w:cs="Arial"/>
          <w:i/>
        </w:rPr>
        <w:t xml:space="preserve"> </w:t>
      </w:r>
      <w:r w:rsidR="003606D5">
        <w:rPr>
          <w:rFonts w:ascii="Arial" w:hAnsi="Arial" w:cs="Arial"/>
          <w:i/>
        </w:rPr>
        <w:t xml:space="preserve">  </w:t>
      </w:r>
      <w:r w:rsidRPr="003606D5">
        <w:rPr>
          <w:rFonts w:ascii="Arial" w:hAnsi="Arial" w:cs="Arial"/>
          <w:i/>
        </w:rPr>
        <w:t xml:space="preserve">Option 3 </w:t>
      </w:r>
      <w:r w:rsidR="0065222E">
        <w:rPr>
          <w:rFonts w:ascii="Arial" w:hAnsi="Arial" w:cs="Arial"/>
          <w:i/>
        </w:rPr>
        <w:t xml:space="preserve">  </w:t>
      </w:r>
      <w:r w:rsidR="003606D5" w:rsidRPr="003606D5">
        <w:rPr>
          <w:rFonts w:ascii="Arial" w:hAnsi="Arial" w:cs="Arial"/>
          <w:i/>
        </w:rPr>
        <w:t xml:space="preserve"> </w:t>
      </w:r>
      <w:r w:rsidRPr="003606D5">
        <w:rPr>
          <w:rFonts w:ascii="Arial" w:hAnsi="Arial" w:cs="Arial"/>
          <w:i/>
        </w:rPr>
        <w:t>Savings analysis by function</w:t>
      </w:r>
    </w:p>
    <w:p w:rsidR="00E14B0A" w:rsidRDefault="00E14B0A" w:rsidP="008045E6">
      <w:pPr>
        <w:pStyle w:val="NoSpacing"/>
        <w:rPr>
          <w:rFonts w:ascii="Arial" w:eastAsia="MS ??" w:hAnsi="Arial" w:cs="Times New Roman"/>
          <w:noProof/>
          <w:szCs w:val="20"/>
          <w:lang w:eastAsia="en-NZ"/>
        </w:rPr>
      </w:pPr>
    </w:p>
    <w:p w:rsidR="00825510" w:rsidRDefault="00E14B0A" w:rsidP="008045E6">
      <w:pPr>
        <w:pStyle w:val="NoSpacing"/>
        <w:rPr>
          <w:rFonts w:ascii="Arial" w:hAnsi="Arial" w:cs="Arial"/>
        </w:rPr>
      </w:pPr>
      <w:r w:rsidRPr="00E14B0A">
        <w:rPr>
          <w:rFonts w:ascii="Arial" w:eastAsia="MS ??" w:hAnsi="Arial" w:cs="Times New Roman"/>
          <w:noProof/>
          <w:szCs w:val="20"/>
          <w:lang w:eastAsia="en-NZ"/>
        </w:rPr>
        <w:drawing>
          <wp:inline distT="0" distB="0" distL="0" distR="0" wp14:anchorId="79B71DB1" wp14:editId="00FAFAD4">
            <wp:extent cx="4899660" cy="14687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99660" cy="1468755"/>
                    </a:xfrm>
                    <a:prstGeom prst="rect">
                      <a:avLst/>
                    </a:prstGeom>
                    <a:noFill/>
                    <a:ln>
                      <a:noFill/>
                    </a:ln>
                  </pic:spPr>
                </pic:pic>
              </a:graphicData>
            </a:graphic>
          </wp:inline>
        </w:drawing>
      </w:r>
    </w:p>
    <w:p w:rsidR="00825510" w:rsidRDefault="00825510" w:rsidP="008045E6">
      <w:pPr>
        <w:pStyle w:val="NoSpacing"/>
        <w:rPr>
          <w:rFonts w:ascii="Arial" w:hAnsi="Arial" w:cs="Arial"/>
        </w:rPr>
      </w:pPr>
    </w:p>
    <w:p w:rsidR="003606D5" w:rsidRDefault="003606D5" w:rsidP="008045E6">
      <w:pPr>
        <w:pStyle w:val="NoSpacing"/>
        <w:rPr>
          <w:rFonts w:ascii="Arial" w:hAnsi="Arial" w:cs="Arial"/>
          <w:b/>
          <w:i/>
        </w:rPr>
      </w:pPr>
    </w:p>
    <w:p w:rsidR="003606D5" w:rsidRDefault="003606D5" w:rsidP="008045E6">
      <w:pPr>
        <w:pStyle w:val="NoSpacing"/>
        <w:rPr>
          <w:rFonts w:ascii="Arial" w:hAnsi="Arial" w:cs="Arial"/>
          <w:b/>
          <w:i/>
        </w:rPr>
      </w:pPr>
    </w:p>
    <w:p w:rsidR="003606D5" w:rsidRDefault="003606D5" w:rsidP="008045E6">
      <w:pPr>
        <w:pStyle w:val="NoSpacing"/>
        <w:rPr>
          <w:rFonts w:ascii="Arial" w:hAnsi="Arial" w:cs="Arial"/>
          <w:b/>
          <w:i/>
        </w:rPr>
      </w:pPr>
    </w:p>
    <w:p w:rsidR="003606D5" w:rsidRDefault="003606D5" w:rsidP="008045E6">
      <w:pPr>
        <w:pStyle w:val="NoSpacing"/>
        <w:rPr>
          <w:rFonts w:ascii="Arial" w:hAnsi="Arial" w:cs="Arial"/>
          <w:b/>
          <w:i/>
        </w:rPr>
      </w:pPr>
    </w:p>
    <w:p w:rsidR="003606D5" w:rsidRDefault="003606D5" w:rsidP="008045E6">
      <w:pPr>
        <w:pStyle w:val="NoSpacing"/>
        <w:rPr>
          <w:rFonts w:ascii="Arial" w:hAnsi="Arial" w:cs="Arial"/>
          <w:b/>
          <w:i/>
        </w:rPr>
      </w:pPr>
    </w:p>
    <w:p w:rsidR="003606D5" w:rsidRDefault="003606D5" w:rsidP="008045E6">
      <w:pPr>
        <w:pStyle w:val="NoSpacing"/>
        <w:rPr>
          <w:rFonts w:ascii="Arial" w:hAnsi="Arial" w:cs="Arial"/>
          <w:b/>
          <w:i/>
        </w:rPr>
      </w:pPr>
    </w:p>
    <w:p w:rsidR="003606D5" w:rsidRDefault="003606D5" w:rsidP="008045E6">
      <w:pPr>
        <w:pStyle w:val="NoSpacing"/>
        <w:rPr>
          <w:rFonts w:ascii="Arial" w:hAnsi="Arial" w:cs="Arial"/>
          <w:b/>
          <w:i/>
        </w:rPr>
      </w:pPr>
    </w:p>
    <w:p w:rsidR="003606D5" w:rsidRDefault="003606D5" w:rsidP="008045E6">
      <w:pPr>
        <w:pStyle w:val="NoSpacing"/>
        <w:rPr>
          <w:rFonts w:ascii="Arial" w:hAnsi="Arial" w:cs="Arial"/>
          <w:b/>
          <w:i/>
        </w:rPr>
      </w:pPr>
    </w:p>
    <w:p w:rsidR="003606D5" w:rsidRDefault="003606D5" w:rsidP="008045E6">
      <w:pPr>
        <w:pStyle w:val="NoSpacing"/>
        <w:rPr>
          <w:rFonts w:ascii="Arial" w:hAnsi="Arial" w:cs="Arial"/>
          <w:b/>
          <w:i/>
        </w:rPr>
      </w:pPr>
    </w:p>
    <w:p w:rsidR="003606D5" w:rsidRDefault="003606D5" w:rsidP="008045E6">
      <w:pPr>
        <w:pStyle w:val="NoSpacing"/>
        <w:rPr>
          <w:rFonts w:ascii="Arial" w:hAnsi="Arial" w:cs="Arial"/>
          <w:b/>
          <w:i/>
        </w:rPr>
      </w:pPr>
    </w:p>
    <w:p w:rsidR="003606D5" w:rsidRDefault="003606D5" w:rsidP="008045E6">
      <w:pPr>
        <w:pStyle w:val="NoSpacing"/>
        <w:rPr>
          <w:rFonts w:ascii="Arial" w:hAnsi="Arial" w:cs="Arial"/>
          <w:b/>
          <w:i/>
        </w:rPr>
      </w:pPr>
    </w:p>
    <w:p w:rsidR="00825510" w:rsidRPr="003606D5" w:rsidRDefault="00825510" w:rsidP="008045E6">
      <w:pPr>
        <w:pStyle w:val="NoSpacing"/>
        <w:rPr>
          <w:rFonts w:ascii="Arial" w:hAnsi="Arial" w:cs="Arial"/>
          <w:i/>
        </w:rPr>
      </w:pPr>
      <w:r w:rsidRPr="003606D5">
        <w:rPr>
          <w:rFonts w:ascii="Arial" w:hAnsi="Arial" w:cs="Arial"/>
          <w:i/>
        </w:rPr>
        <w:t xml:space="preserve">Table </w:t>
      </w:r>
      <w:r w:rsidR="003606D5" w:rsidRPr="003606D5">
        <w:rPr>
          <w:rFonts w:ascii="Arial" w:hAnsi="Arial" w:cs="Arial"/>
          <w:i/>
        </w:rPr>
        <w:t xml:space="preserve">13 </w:t>
      </w:r>
      <w:r w:rsidR="003606D5">
        <w:rPr>
          <w:rFonts w:ascii="Arial" w:hAnsi="Arial" w:cs="Arial"/>
          <w:i/>
        </w:rPr>
        <w:t xml:space="preserve">  </w:t>
      </w:r>
      <w:r w:rsidRPr="003606D5">
        <w:rPr>
          <w:rFonts w:ascii="Arial" w:hAnsi="Arial" w:cs="Arial"/>
          <w:i/>
        </w:rPr>
        <w:t xml:space="preserve"> Option 3 </w:t>
      </w:r>
      <w:r w:rsidR="003606D5" w:rsidRPr="003606D5">
        <w:rPr>
          <w:rFonts w:ascii="Arial" w:hAnsi="Arial" w:cs="Arial"/>
          <w:i/>
        </w:rPr>
        <w:t xml:space="preserve"> </w:t>
      </w:r>
      <w:r w:rsidR="0065222E">
        <w:rPr>
          <w:rFonts w:ascii="Arial" w:hAnsi="Arial" w:cs="Arial"/>
          <w:i/>
        </w:rPr>
        <w:t xml:space="preserve">  </w:t>
      </w:r>
      <w:r w:rsidRPr="003606D5">
        <w:rPr>
          <w:rFonts w:ascii="Arial" w:hAnsi="Arial" w:cs="Arial"/>
          <w:i/>
        </w:rPr>
        <w:t>Savings analysis by Council</w:t>
      </w:r>
    </w:p>
    <w:p w:rsidR="00825510" w:rsidRDefault="00825510" w:rsidP="008045E6">
      <w:pPr>
        <w:pStyle w:val="NoSpacing"/>
        <w:rPr>
          <w:rFonts w:ascii="Arial" w:hAnsi="Arial" w:cs="Arial"/>
        </w:rPr>
      </w:pPr>
    </w:p>
    <w:p w:rsidR="00825510" w:rsidRDefault="00825510" w:rsidP="008045E6">
      <w:pPr>
        <w:pStyle w:val="NoSpacing"/>
        <w:rPr>
          <w:rFonts w:ascii="Arial" w:hAnsi="Arial" w:cs="Arial"/>
        </w:rPr>
      </w:pPr>
      <w:r w:rsidRPr="00825510">
        <w:rPr>
          <w:rFonts w:ascii="Arial" w:eastAsia="MS ??" w:hAnsi="Arial" w:cs="Times New Roman"/>
          <w:noProof/>
          <w:szCs w:val="20"/>
          <w:lang w:eastAsia="en-NZ"/>
        </w:rPr>
        <w:drawing>
          <wp:inline distT="0" distB="0" distL="0" distR="0" wp14:anchorId="4FDCD8B4" wp14:editId="66725DBC">
            <wp:extent cx="4907280" cy="20224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7280" cy="2022475"/>
                    </a:xfrm>
                    <a:prstGeom prst="rect">
                      <a:avLst/>
                    </a:prstGeom>
                    <a:noFill/>
                    <a:ln>
                      <a:noFill/>
                    </a:ln>
                  </pic:spPr>
                </pic:pic>
              </a:graphicData>
            </a:graphic>
          </wp:inline>
        </w:drawing>
      </w:r>
    </w:p>
    <w:p w:rsidR="00825510" w:rsidRDefault="00825510" w:rsidP="008045E6">
      <w:pPr>
        <w:pStyle w:val="NoSpacing"/>
        <w:rPr>
          <w:rFonts w:ascii="Arial" w:hAnsi="Arial" w:cs="Arial"/>
        </w:rPr>
      </w:pPr>
    </w:p>
    <w:p w:rsidR="00825510" w:rsidRDefault="00825510" w:rsidP="008045E6">
      <w:pPr>
        <w:pStyle w:val="NoSpacing"/>
        <w:rPr>
          <w:rFonts w:ascii="Arial" w:hAnsi="Arial" w:cs="Arial"/>
        </w:rPr>
      </w:pPr>
    </w:p>
    <w:p w:rsidR="00825510" w:rsidRDefault="00825510" w:rsidP="008045E6">
      <w:pPr>
        <w:pStyle w:val="NoSpacing"/>
        <w:rPr>
          <w:rFonts w:ascii="Arial" w:hAnsi="Arial" w:cs="Arial"/>
        </w:rPr>
      </w:pPr>
    </w:p>
    <w:p w:rsidR="00825510" w:rsidRPr="003606D5" w:rsidRDefault="00825510" w:rsidP="008045E6">
      <w:pPr>
        <w:pStyle w:val="NoSpacing"/>
        <w:rPr>
          <w:rFonts w:ascii="Arial" w:hAnsi="Arial" w:cs="Arial"/>
          <w:b/>
        </w:rPr>
      </w:pPr>
      <w:r w:rsidRPr="003606D5">
        <w:rPr>
          <w:rFonts w:ascii="Arial" w:hAnsi="Arial" w:cs="Arial"/>
          <w:b/>
        </w:rPr>
        <w:t>Option 3   Commentary on assessed savings</w:t>
      </w:r>
    </w:p>
    <w:p w:rsidR="00825510" w:rsidRDefault="00825510" w:rsidP="008045E6">
      <w:pPr>
        <w:pStyle w:val="NoSpacing"/>
        <w:rPr>
          <w:rFonts w:ascii="Arial" w:hAnsi="Arial" w:cs="Arial"/>
        </w:rPr>
      </w:pPr>
    </w:p>
    <w:p w:rsidR="00825510" w:rsidRDefault="00825510" w:rsidP="00825510">
      <w:pPr>
        <w:pStyle w:val="NoSpacing"/>
        <w:numPr>
          <w:ilvl w:val="0"/>
          <w:numId w:val="31"/>
        </w:numPr>
        <w:rPr>
          <w:rFonts w:ascii="Arial" w:hAnsi="Arial" w:cs="Arial"/>
        </w:rPr>
      </w:pPr>
      <w:r>
        <w:rPr>
          <w:rFonts w:ascii="Arial" w:hAnsi="Arial" w:cs="Arial"/>
        </w:rPr>
        <w:t xml:space="preserve">Under option 3 the overall assessed annual savings by Year </w:t>
      </w:r>
      <w:r w:rsidR="0089276D">
        <w:rPr>
          <w:rFonts w:ascii="Arial" w:hAnsi="Arial" w:cs="Arial"/>
        </w:rPr>
        <w:t>4 is just under $36</w:t>
      </w:r>
      <w:r>
        <w:rPr>
          <w:rFonts w:ascii="Arial" w:hAnsi="Arial" w:cs="Arial"/>
        </w:rPr>
        <w:t xml:space="preserve"> million</w:t>
      </w:r>
    </w:p>
    <w:p w:rsidR="00825510" w:rsidRDefault="0089276D" w:rsidP="00825510">
      <w:pPr>
        <w:pStyle w:val="NoSpacing"/>
        <w:numPr>
          <w:ilvl w:val="0"/>
          <w:numId w:val="31"/>
        </w:numPr>
        <w:rPr>
          <w:rFonts w:ascii="Arial" w:hAnsi="Arial" w:cs="Arial"/>
        </w:rPr>
      </w:pPr>
      <w:r>
        <w:rPr>
          <w:rFonts w:ascii="Arial" w:hAnsi="Arial" w:cs="Arial"/>
        </w:rPr>
        <w:t>By function, the greatest savings are assessed in corporate support costs. This amounts to 72% of total savings or $26 million.</w:t>
      </w:r>
    </w:p>
    <w:p w:rsidR="0089276D" w:rsidRDefault="0089276D" w:rsidP="00825510">
      <w:pPr>
        <w:pStyle w:val="NoSpacing"/>
        <w:numPr>
          <w:ilvl w:val="0"/>
          <w:numId w:val="31"/>
        </w:numPr>
        <w:rPr>
          <w:rFonts w:ascii="Arial" w:hAnsi="Arial" w:cs="Arial"/>
        </w:rPr>
      </w:pPr>
      <w:r>
        <w:rPr>
          <w:rFonts w:ascii="Arial" w:hAnsi="Arial" w:cs="Arial"/>
        </w:rPr>
        <w:t>Savings in activity opex and capex amount to $8 million yearly, or 22% of total savings</w:t>
      </w:r>
    </w:p>
    <w:p w:rsidR="0089276D" w:rsidRDefault="0089276D" w:rsidP="00825510">
      <w:pPr>
        <w:pStyle w:val="NoSpacing"/>
        <w:numPr>
          <w:ilvl w:val="0"/>
          <w:numId w:val="31"/>
        </w:numPr>
        <w:rPr>
          <w:rFonts w:ascii="Arial" w:hAnsi="Arial" w:cs="Arial"/>
        </w:rPr>
      </w:pPr>
      <w:r>
        <w:rPr>
          <w:rFonts w:ascii="Arial" w:hAnsi="Arial" w:cs="Arial"/>
        </w:rPr>
        <w:t>Savings in governance costs are relatively minor at just under $2 million</w:t>
      </w:r>
    </w:p>
    <w:p w:rsidR="0089276D" w:rsidRDefault="0089276D" w:rsidP="00825510">
      <w:pPr>
        <w:pStyle w:val="NoSpacing"/>
        <w:numPr>
          <w:ilvl w:val="0"/>
          <w:numId w:val="31"/>
        </w:numPr>
        <w:rPr>
          <w:rFonts w:ascii="Arial" w:hAnsi="Arial" w:cs="Arial"/>
        </w:rPr>
      </w:pPr>
      <w:r>
        <w:rPr>
          <w:rFonts w:ascii="Arial" w:hAnsi="Arial" w:cs="Arial"/>
        </w:rPr>
        <w:t xml:space="preserve">By Council Wellington City would </w:t>
      </w:r>
      <w:r w:rsidR="00E21B52">
        <w:rPr>
          <w:rFonts w:ascii="Arial" w:hAnsi="Arial" w:cs="Arial"/>
        </w:rPr>
        <w:t>be expected to see the largest cost savings, through rationalisation of corporate support costs to service a reduced number of activities</w:t>
      </w:r>
    </w:p>
    <w:p w:rsidR="00E21B52" w:rsidRDefault="00E21B52" w:rsidP="00825510">
      <w:pPr>
        <w:pStyle w:val="NoSpacing"/>
        <w:numPr>
          <w:ilvl w:val="0"/>
          <w:numId w:val="31"/>
        </w:numPr>
        <w:rPr>
          <w:rFonts w:ascii="Arial" w:hAnsi="Arial" w:cs="Arial"/>
        </w:rPr>
      </w:pPr>
      <w:r>
        <w:rPr>
          <w:rFonts w:ascii="Arial" w:hAnsi="Arial" w:cs="Arial"/>
        </w:rPr>
        <w:t xml:space="preserve">The enlarged Regional Council would initially need more corporate support resource to service </w:t>
      </w:r>
      <w:r w:rsidR="0057479E">
        <w:rPr>
          <w:rFonts w:ascii="Arial" w:hAnsi="Arial" w:cs="Arial"/>
        </w:rPr>
        <w:t>an</w:t>
      </w:r>
      <w:r>
        <w:rPr>
          <w:rFonts w:ascii="Arial" w:hAnsi="Arial" w:cs="Arial"/>
        </w:rPr>
        <w:t xml:space="preserve"> increased number of activities and responsibilities.</w:t>
      </w:r>
    </w:p>
    <w:p w:rsidR="00825510" w:rsidRDefault="00825510" w:rsidP="008045E6">
      <w:pPr>
        <w:pStyle w:val="NoSpacing"/>
        <w:rPr>
          <w:rFonts w:ascii="Arial" w:hAnsi="Arial" w:cs="Arial"/>
        </w:rPr>
      </w:pPr>
    </w:p>
    <w:p w:rsidR="00825510" w:rsidRDefault="00825510" w:rsidP="008045E6">
      <w:pPr>
        <w:pStyle w:val="NoSpacing"/>
        <w:rPr>
          <w:rFonts w:ascii="Arial" w:hAnsi="Arial" w:cs="Arial"/>
        </w:rPr>
      </w:pPr>
    </w:p>
    <w:p w:rsidR="00825510" w:rsidRDefault="00825510"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Default="00E21B52" w:rsidP="008045E6">
      <w:pPr>
        <w:pStyle w:val="NoSpacing"/>
        <w:rPr>
          <w:rFonts w:ascii="Arial" w:hAnsi="Arial" w:cs="Arial"/>
        </w:rPr>
      </w:pPr>
    </w:p>
    <w:p w:rsidR="00E21B52" w:rsidRPr="00E21B52" w:rsidRDefault="00E21B52" w:rsidP="00E21B52">
      <w:pPr>
        <w:pStyle w:val="NoSpacing"/>
        <w:rPr>
          <w:rFonts w:ascii="Arial" w:hAnsi="Arial" w:cs="Arial"/>
          <w:b/>
        </w:rPr>
      </w:pPr>
      <w:r>
        <w:rPr>
          <w:rFonts w:ascii="Arial" w:hAnsi="Arial" w:cs="Arial"/>
          <w:b/>
        </w:rPr>
        <w:t>Analysis of Cost Savings under O</w:t>
      </w:r>
      <w:r w:rsidRPr="00E21B52">
        <w:rPr>
          <w:rFonts w:ascii="Arial" w:hAnsi="Arial" w:cs="Arial"/>
          <w:b/>
        </w:rPr>
        <w:t xml:space="preserve">ption </w:t>
      </w:r>
      <w:r>
        <w:rPr>
          <w:rFonts w:ascii="Arial" w:hAnsi="Arial" w:cs="Arial"/>
          <w:b/>
        </w:rPr>
        <w:t>4</w:t>
      </w:r>
      <w:r w:rsidRPr="00E21B52">
        <w:rPr>
          <w:rFonts w:ascii="Arial" w:hAnsi="Arial" w:cs="Arial"/>
          <w:b/>
        </w:rPr>
        <w:t xml:space="preserve"> –</w:t>
      </w:r>
      <w:r>
        <w:rPr>
          <w:rFonts w:ascii="Arial" w:hAnsi="Arial" w:cs="Arial"/>
          <w:b/>
        </w:rPr>
        <w:t xml:space="preserve"> One Wellington Council</w:t>
      </w:r>
    </w:p>
    <w:p w:rsidR="00E21B52" w:rsidRPr="00E21B52" w:rsidRDefault="00E21B52" w:rsidP="00E21B52">
      <w:pPr>
        <w:pStyle w:val="NoSpacing"/>
        <w:rPr>
          <w:rFonts w:ascii="Arial" w:hAnsi="Arial" w:cs="Arial"/>
        </w:rPr>
      </w:pPr>
    </w:p>
    <w:p w:rsidR="00E21B52" w:rsidRPr="00E21B52" w:rsidRDefault="00E21B52" w:rsidP="00E21B52">
      <w:pPr>
        <w:pStyle w:val="NoSpacing"/>
        <w:rPr>
          <w:rFonts w:ascii="Arial" w:hAnsi="Arial" w:cs="Arial"/>
        </w:rPr>
      </w:pPr>
    </w:p>
    <w:tbl>
      <w:tblPr>
        <w:tblStyle w:val="TableGrid"/>
        <w:tblW w:w="0" w:type="auto"/>
        <w:tblLook w:val="04A0" w:firstRow="1" w:lastRow="0" w:firstColumn="1" w:lastColumn="0" w:noHBand="0" w:noVBand="1"/>
      </w:tblPr>
      <w:tblGrid>
        <w:gridCol w:w="10456"/>
      </w:tblGrid>
      <w:tr w:rsidR="00E21B52" w:rsidRPr="00E21B52" w:rsidTr="00922121">
        <w:tc>
          <w:tcPr>
            <w:tcW w:w="10456" w:type="dxa"/>
          </w:tcPr>
          <w:p w:rsidR="00E21B52" w:rsidRPr="00E21B52" w:rsidRDefault="00E21B52" w:rsidP="00E21B52">
            <w:pPr>
              <w:pStyle w:val="NoSpacing"/>
              <w:rPr>
                <w:rFonts w:ascii="Arial" w:hAnsi="Arial" w:cs="Arial"/>
              </w:rPr>
            </w:pPr>
            <w:r w:rsidRPr="00E21B52">
              <w:rPr>
                <w:rFonts w:ascii="Arial" w:hAnsi="Arial" w:cs="Arial"/>
              </w:rPr>
              <w:t xml:space="preserve">This </w:t>
            </w:r>
            <w:r>
              <w:rPr>
                <w:rFonts w:ascii="Arial" w:hAnsi="Arial" w:cs="Arial"/>
              </w:rPr>
              <w:t>option envisages a single unitary council for the whole of the Wellington Region either with or without local boards</w:t>
            </w:r>
          </w:p>
          <w:p w:rsidR="00E21B52" w:rsidRPr="00E21B52" w:rsidRDefault="00E21B52" w:rsidP="00E21B52">
            <w:pPr>
              <w:pStyle w:val="NoSpacing"/>
              <w:rPr>
                <w:rFonts w:ascii="Arial" w:hAnsi="Arial" w:cs="Arial"/>
                <w:lang w:val="en-AU"/>
              </w:rPr>
            </w:pPr>
          </w:p>
          <w:p w:rsidR="00E21B52" w:rsidRPr="00E21B52" w:rsidRDefault="00E21B52" w:rsidP="00E21B52">
            <w:pPr>
              <w:pStyle w:val="NoSpacing"/>
              <w:rPr>
                <w:rFonts w:ascii="Arial" w:hAnsi="Arial" w:cs="Arial"/>
                <w:lang w:val="en-AU"/>
              </w:rPr>
            </w:pPr>
            <w:r>
              <w:rPr>
                <w:rFonts w:ascii="Arial" w:hAnsi="Arial" w:cs="Arial"/>
                <w:lang w:val="en-AU"/>
              </w:rPr>
              <w:t xml:space="preserve">The </w:t>
            </w:r>
            <w:r w:rsidR="004E3EE2">
              <w:rPr>
                <w:rFonts w:ascii="Arial" w:hAnsi="Arial" w:cs="Arial"/>
                <w:lang w:val="en-AU"/>
              </w:rPr>
              <w:t>Council will have a number of local service centres but to the extent possible the administration of the council would be centralised.</w:t>
            </w:r>
          </w:p>
          <w:p w:rsidR="00E21B52" w:rsidRPr="00E21B52" w:rsidRDefault="00E21B52" w:rsidP="00E21B52">
            <w:pPr>
              <w:pStyle w:val="NoSpacing"/>
              <w:rPr>
                <w:rFonts w:ascii="Arial" w:hAnsi="Arial" w:cs="Arial"/>
              </w:rPr>
            </w:pPr>
          </w:p>
        </w:tc>
      </w:tr>
    </w:tbl>
    <w:p w:rsidR="00E21B52" w:rsidRPr="00E21B52" w:rsidRDefault="00E21B52" w:rsidP="00E21B52">
      <w:pPr>
        <w:pStyle w:val="NoSpacing"/>
        <w:rPr>
          <w:rFonts w:ascii="Arial" w:hAnsi="Arial" w:cs="Arial"/>
        </w:rPr>
      </w:pPr>
    </w:p>
    <w:p w:rsidR="00E21B52" w:rsidRPr="00E21B52" w:rsidRDefault="00E21B52" w:rsidP="00E21B52">
      <w:pPr>
        <w:pStyle w:val="NoSpacing"/>
        <w:rPr>
          <w:rFonts w:ascii="Arial" w:hAnsi="Arial" w:cs="Arial"/>
          <w:b/>
          <w:i/>
        </w:rPr>
      </w:pPr>
    </w:p>
    <w:p w:rsidR="004E3EE2" w:rsidRPr="004E3EE2" w:rsidRDefault="004E3EE2" w:rsidP="004E3EE2">
      <w:pPr>
        <w:spacing w:after="0" w:line="240" w:lineRule="auto"/>
        <w:contextualSpacing/>
        <w:rPr>
          <w:rFonts w:ascii="Arial" w:eastAsia="MS ??" w:hAnsi="Arial" w:cs="Times New Roman"/>
          <w:b/>
          <w:i/>
          <w:szCs w:val="20"/>
          <w:lang w:val="en-AU" w:eastAsia="ja-JP"/>
        </w:rPr>
      </w:pPr>
      <w:r w:rsidRPr="004E3EE2">
        <w:rPr>
          <w:rFonts w:ascii="Arial" w:eastAsia="MS ??" w:hAnsi="Arial" w:cs="Times New Roman"/>
          <w:b/>
          <w:i/>
          <w:szCs w:val="20"/>
          <w:lang w:val="en-AU" w:eastAsia="ja-JP"/>
        </w:rPr>
        <w:t>Option 4 - Assessment Basi</w:t>
      </w:r>
      <w:r>
        <w:rPr>
          <w:rFonts w:ascii="Arial" w:eastAsia="MS ??" w:hAnsi="Arial" w:cs="Times New Roman"/>
          <w:b/>
          <w:i/>
          <w:szCs w:val="20"/>
          <w:lang w:val="en-AU" w:eastAsia="ja-JP"/>
        </w:rPr>
        <w:t>s</w:t>
      </w:r>
    </w:p>
    <w:p w:rsidR="004E3EE2" w:rsidRPr="004E3EE2" w:rsidRDefault="004E3EE2" w:rsidP="004E3EE2">
      <w:pPr>
        <w:spacing w:after="0" w:line="240" w:lineRule="auto"/>
        <w:ind w:left="720"/>
        <w:contextualSpacing/>
        <w:rPr>
          <w:rFonts w:ascii="Arial" w:eastAsia="MS ??" w:hAnsi="Arial" w:cs="Times New Roman"/>
          <w:szCs w:val="20"/>
          <w:lang w:val="en-AU" w:eastAsia="ja-JP"/>
        </w:rPr>
      </w:pPr>
    </w:p>
    <w:p w:rsidR="004E3EE2" w:rsidRPr="004E3EE2" w:rsidRDefault="004E3EE2" w:rsidP="004E3EE2">
      <w:pPr>
        <w:numPr>
          <w:ilvl w:val="0"/>
          <w:numId w:val="9"/>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We categorised council operations into six aspects – Council activities operational expenditure (opex), Council activities capital expenditure (capex), corporate and internal support personnel costs, other non-personnel corporate costs, governance costs (elected members and CEO remuneration) and Audit costs.</w:t>
      </w:r>
    </w:p>
    <w:p w:rsidR="004E3EE2" w:rsidRPr="004E3EE2" w:rsidRDefault="004E3EE2" w:rsidP="004E3EE2">
      <w:pPr>
        <w:spacing w:after="0" w:line="240" w:lineRule="auto"/>
        <w:ind w:left="720"/>
        <w:contextualSpacing/>
        <w:jc w:val="both"/>
        <w:rPr>
          <w:rFonts w:ascii="Arial" w:eastAsia="MS ??" w:hAnsi="Arial" w:cs="Times New Roman"/>
          <w:szCs w:val="20"/>
          <w:lang w:val="en-AU" w:eastAsia="ja-JP"/>
        </w:rPr>
      </w:pPr>
    </w:p>
    <w:p w:rsidR="004E3EE2" w:rsidRDefault="004E3EE2" w:rsidP="004E3EE2">
      <w:pPr>
        <w:numPr>
          <w:ilvl w:val="0"/>
          <w:numId w:val="9"/>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The Council activities, both opex and capex, were further categorised into;</w:t>
      </w:r>
    </w:p>
    <w:p w:rsidR="004E3EE2" w:rsidRDefault="004E3EE2" w:rsidP="004E3EE2">
      <w:pPr>
        <w:pStyle w:val="ListParagraph"/>
      </w:pPr>
    </w:p>
    <w:p w:rsidR="004E3EE2" w:rsidRPr="004E3EE2" w:rsidRDefault="004E3EE2" w:rsidP="004E3EE2">
      <w:pPr>
        <w:spacing w:after="0" w:line="240" w:lineRule="auto"/>
        <w:ind w:left="720"/>
        <w:contextualSpacing/>
        <w:jc w:val="both"/>
        <w:rPr>
          <w:rFonts w:ascii="Arial" w:eastAsia="MS ??" w:hAnsi="Arial" w:cs="Times New Roman"/>
          <w:szCs w:val="20"/>
          <w:lang w:val="en-AU" w:eastAsia="ja-JP"/>
        </w:rPr>
      </w:pPr>
    </w:p>
    <w:p w:rsidR="004E3EE2" w:rsidRPr="004E3EE2" w:rsidRDefault="004E3EE2" w:rsidP="004E3EE2">
      <w:pPr>
        <w:numPr>
          <w:ilvl w:val="0"/>
          <w:numId w:val="10"/>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Regulatory</w:t>
      </w:r>
    </w:p>
    <w:p w:rsidR="004E3EE2" w:rsidRPr="004E3EE2" w:rsidRDefault="004E3EE2" w:rsidP="004E3EE2">
      <w:pPr>
        <w:numPr>
          <w:ilvl w:val="0"/>
          <w:numId w:val="10"/>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Water, Wastewater and Stormwater (three waters)</w:t>
      </w:r>
    </w:p>
    <w:p w:rsidR="004E3EE2" w:rsidRPr="004E3EE2" w:rsidRDefault="004E3EE2" w:rsidP="004E3EE2">
      <w:pPr>
        <w:numPr>
          <w:ilvl w:val="0"/>
          <w:numId w:val="10"/>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Roading</w:t>
      </w:r>
    </w:p>
    <w:p w:rsidR="004E3EE2" w:rsidRPr="004E3EE2" w:rsidRDefault="004E3EE2" w:rsidP="004E3EE2">
      <w:pPr>
        <w:numPr>
          <w:ilvl w:val="0"/>
          <w:numId w:val="10"/>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Solid Waste</w:t>
      </w:r>
    </w:p>
    <w:p w:rsidR="004E3EE2" w:rsidRPr="004E3EE2" w:rsidRDefault="004E3EE2" w:rsidP="004E3EE2">
      <w:pPr>
        <w:numPr>
          <w:ilvl w:val="0"/>
          <w:numId w:val="10"/>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Public Transport</w:t>
      </w:r>
    </w:p>
    <w:p w:rsidR="004E3EE2" w:rsidRPr="004E3EE2" w:rsidRDefault="004E3EE2" w:rsidP="004E3EE2">
      <w:pPr>
        <w:numPr>
          <w:ilvl w:val="0"/>
          <w:numId w:val="10"/>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Economic Development and promotions</w:t>
      </w:r>
    </w:p>
    <w:p w:rsidR="004E3EE2" w:rsidRPr="004E3EE2" w:rsidRDefault="004E3EE2" w:rsidP="004E3EE2">
      <w:pPr>
        <w:numPr>
          <w:ilvl w:val="0"/>
          <w:numId w:val="10"/>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Other activities, which mainly comprised parks and open spaces, community facilities etc</w:t>
      </w:r>
    </w:p>
    <w:p w:rsidR="004E3EE2" w:rsidRPr="004E3EE2" w:rsidRDefault="004E3EE2" w:rsidP="004E3EE2">
      <w:pPr>
        <w:spacing w:after="0" w:line="240" w:lineRule="auto"/>
        <w:ind w:left="720"/>
        <w:contextualSpacing/>
        <w:jc w:val="both"/>
        <w:rPr>
          <w:rFonts w:ascii="Arial" w:eastAsia="MS ??" w:hAnsi="Arial" w:cs="Times New Roman"/>
          <w:szCs w:val="20"/>
          <w:lang w:val="en-AU" w:eastAsia="ja-JP"/>
        </w:rPr>
      </w:pPr>
    </w:p>
    <w:p w:rsidR="004E3EE2" w:rsidRDefault="004E3EE2" w:rsidP="004E3EE2">
      <w:pPr>
        <w:numPr>
          <w:ilvl w:val="0"/>
          <w:numId w:val="11"/>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To arrive at an appropriate expenditure base for activities, we used Council LTPs for the 2012-22 period. For each activity opex we;</w:t>
      </w:r>
    </w:p>
    <w:p w:rsidR="004E3EE2" w:rsidRPr="004E3EE2" w:rsidRDefault="004E3EE2" w:rsidP="004E3EE2">
      <w:pPr>
        <w:spacing w:after="0" w:line="240" w:lineRule="auto"/>
        <w:ind w:left="720"/>
        <w:contextualSpacing/>
        <w:jc w:val="both"/>
        <w:rPr>
          <w:rFonts w:ascii="Arial" w:eastAsia="MS ??" w:hAnsi="Arial" w:cs="Times New Roman"/>
          <w:szCs w:val="20"/>
          <w:lang w:val="en-AU" w:eastAsia="ja-JP"/>
        </w:rPr>
      </w:pPr>
    </w:p>
    <w:p w:rsidR="004E3EE2" w:rsidRDefault="004E3EE2" w:rsidP="004E3EE2">
      <w:pPr>
        <w:numPr>
          <w:ilvl w:val="0"/>
          <w:numId w:val="12"/>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Summed the 10 year payments to staff and suppliers as recorded in the forecast Funding Impact Statements. These payments exclude finance costs, depreciation and internal charges. The rationale for excluding finance costs and depreciation expenses is that these costs will be largely unaffected (at least for the foreseeable future) by any reorganisation proposal. Internal charges are analysed separately.</w:t>
      </w:r>
    </w:p>
    <w:p w:rsidR="004E3EE2" w:rsidRPr="004E3EE2" w:rsidRDefault="004E3EE2" w:rsidP="004E3EE2">
      <w:pPr>
        <w:spacing w:after="0" w:line="240" w:lineRule="auto"/>
        <w:ind w:left="1505"/>
        <w:contextualSpacing/>
        <w:jc w:val="both"/>
        <w:rPr>
          <w:rFonts w:ascii="Arial" w:eastAsia="MS ??" w:hAnsi="Arial" w:cs="Times New Roman"/>
          <w:szCs w:val="20"/>
          <w:lang w:val="en-AU" w:eastAsia="ja-JP"/>
        </w:rPr>
      </w:pPr>
    </w:p>
    <w:p w:rsidR="004E3EE2" w:rsidRDefault="004E3EE2" w:rsidP="004E3EE2">
      <w:pPr>
        <w:numPr>
          <w:ilvl w:val="0"/>
          <w:numId w:val="12"/>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Averaged the summation (total cost divided by 10 years)</w:t>
      </w:r>
    </w:p>
    <w:p w:rsidR="004E3EE2" w:rsidRPr="004E3EE2" w:rsidRDefault="004E3EE2" w:rsidP="004E3EE2">
      <w:pPr>
        <w:spacing w:after="0" w:line="240" w:lineRule="auto"/>
        <w:contextualSpacing/>
        <w:jc w:val="both"/>
        <w:rPr>
          <w:rFonts w:ascii="Arial" w:eastAsia="MS ??" w:hAnsi="Arial" w:cs="Times New Roman"/>
          <w:szCs w:val="20"/>
          <w:lang w:val="en-AU" w:eastAsia="ja-JP"/>
        </w:rPr>
      </w:pPr>
    </w:p>
    <w:p w:rsidR="004E3EE2" w:rsidRPr="004E3EE2" w:rsidRDefault="004E3EE2" w:rsidP="004E3EE2">
      <w:pPr>
        <w:numPr>
          <w:ilvl w:val="0"/>
          <w:numId w:val="12"/>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Discounted the average back to 2014 dollars using a 3% discount factor (reflecting the approximate inflation used in LTP preparation).</w:t>
      </w:r>
    </w:p>
    <w:p w:rsidR="004E3EE2" w:rsidRPr="004E3EE2" w:rsidRDefault="004E3EE2" w:rsidP="004E3EE2">
      <w:pPr>
        <w:spacing w:after="0" w:line="240" w:lineRule="auto"/>
        <w:ind w:left="720"/>
        <w:contextualSpacing/>
        <w:jc w:val="both"/>
        <w:rPr>
          <w:rFonts w:ascii="Arial" w:eastAsia="MS ??" w:hAnsi="Arial" w:cs="Times New Roman"/>
          <w:szCs w:val="20"/>
          <w:lang w:val="en-AU" w:eastAsia="ja-JP"/>
        </w:rPr>
      </w:pPr>
    </w:p>
    <w:p w:rsidR="004E3EE2" w:rsidRPr="004E3EE2" w:rsidRDefault="004E3EE2" w:rsidP="004E3EE2">
      <w:pPr>
        <w:numPr>
          <w:ilvl w:val="0"/>
          <w:numId w:val="11"/>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A similar methodology was applied to activities capex, but the source of information was the payments for purchase of plant, property and equipment (i.e. physical assets) from the forecast Statement of cash Flows in the Council LTPs</w:t>
      </w:r>
    </w:p>
    <w:p w:rsidR="004E3EE2" w:rsidRPr="004E3EE2" w:rsidRDefault="004E3EE2" w:rsidP="004E3EE2">
      <w:pPr>
        <w:spacing w:after="0" w:line="240" w:lineRule="auto"/>
        <w:ind w:left="720"/>
        <w:contextualSpacing/>
        <w:jc w:val="both"/>
        <w:rPr>
          <w:rFonts w:ascii="Arial" w:eastAsia="MS ??" w:hAnsi="Arial" w:cs="Times New Roman"/>
          <w:szCs w:val="20"/>
          <w:lang w:val="en-AU" w:eastAsia="ja-JP"/>
        </w:rPr>
      </w:pPr>
    </w:p>
    <w:p w:rsidR="004E3EE2" w:rsidRDefault="004E3EE2" w:rsidP="004E3EE2">
      <w:pPr>
        <w:numPr>
          <w:ilvl w:val="0"/>
          <w:numId w:val="11"/>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The rationale for using LTP forecast figures for activities, and averaging process, is that it overcomes the lumpiness that might occur if only one or two years were taken. The forecast figures were seen as a more appropriate base rather than historical figures, as these represent the councils’ intentions in the next 10 years.</w:t>
      </w:r>
    </w:p>
    <w:p w:rsidR="004E3EE2" w:rsidRPr="004E3EE2" w:rsidRDefault="004E3EE2" w:rsidP="004E3EE2">
      <w:pPr>
        <w:spacing w:after="0" w:line="240" w:lineRule="auto"/>
        <w:contextualSpacing/>
        <w:jc w:val="both"/>
        <w:rPr>
          <w:rFonts w:ascii="Arial" w:eastAsia="MS ??" w:hAnsi="Arial" w:cs="Times New Roman"/>
          <w:szCs w:val="20"/>
          <w:lang w:val="en-AU" w:eastAsia="ja-JP"/>
        </w:rPr>
      </w:pPr>
    </w:p>
    <w:p w:rsidR="004E3EE2" w:rsidRPr="004E3EE2" w:rsidRDefault="004E3EE2" w:rsidP="004E3EE2">
      <w:pPr>
        <w:numPr>
          <w:ilvl w:val="0"/>
          <w:numId w:val="11"/>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Corporate personnel costs represents the payroll costs of support and internal services functions within councils. This information was supplied by each council to the Commission in April 2014. The information supplied was the budget figures for the 2013-14 financial year and also included the Full Time Equivalent (FTE) staff numbers as at 30 June 2013.</w:t>
      </w:r>
    </w:p>
    <w:p w:rsidR="004E3EE2" w:rsidRPr="004E3EE2" w:rsidRDefault="004E3EE2" w:rsidP="004E3EE2">
      <w:pPr>
        <w:spacing w:after="0" w:line="240" w:lineRule="auto"/>
        <w:rPr>
          <w:rFonts w:ascii="Arial" w:eastAsia="MS ??" w:hAnsi="Arial" w:cs="Times New Roman"/>
          <w:szCs w:val="20"/>
          <w:lang w:val="en-AU" w:eastAsia="ja-JP"/>
        </w:rPr>
      </w:pPr>
    </w:p>
    <w:p w:rsidR="004E3EE2" w:rsidRDefault="004E3EE2" w:rsidP="004E3EE2">
      <w:pPr>
        <w:spacing w:after="0" w:line="240" w:lineRule="auto"/>
        <w:ind w:left="720"/>
        <w:contextualSpacing/>
        <w:jc w:val="both"/>
        <w:rPr>
          <w:rFonts w:ascii="Arial" w:eastAsia="MS ??" w:hAnsi="Arial" w:cs="Times New Roman"/>
          <w:szCs w:val="20"/>
          <w:lang w:val="en-AU" w:eastAsia="ja-JP"/>
        </w:rPr>
      </w:pPr>
    </w:p>
    <w:p w:rsidR="004E3EE2" w:rsidRDefault="004E3EE2" w:rsidP="004E3EE2">
      <w:pPr>
        <w:pStyle w:val="ListParagraph"/>
      </w:pPr>
    </w:p>
    <w:p w:rsidR="004E3EE2" w:rsidRPr="004E3EE2" w:rsidRDefault="004E3EE2" w:rsidP="004E3EE2">
      <w:pPr>
        <w:numPr>
          <w:ilvl w:val="0"/>
          <w:numId w:val="11"/>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Corporate costs other than personnel costs were sourced from LTP Funding Impact Statements – payments for internal charges. From this figure the corporate personnel costs were deducted.</w:t>
      </w: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numPr>
          <w:ilvl w:val="0"/>
          <w:numId w:val="11"/>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Governance costs represent the elected members, mayoral and CEO remuneration as identified in the 2012-13 annual reports of each council</w:t>
      </w: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numPr>
          <w:ilvl w:val="0"/>
          <w:numId w:val="11"/>
        </w:numPr>
        <w:spacing w:after="0" w:line="240" w:lineRule="auto"/>
        <w:contextualSpacing/>
        <w:jc w:val="both"/>
        <w:rPr>
          <w:rFonts w:ascii="Arial" w:eastAsia="MS ??" w:hAnsi="Arial" w:cs="Times New Roman"/>
          <w:szCs w:val="20"/>
          <w:lang w:val="en-AU" w:eastAsia="ja-JP"/>
        </w:rPr>
      </w:pPr>
      <w:r w:rsidRPr="004E3EE2">
        <w:rPr>
          <w:rFonts w:ascii="Arial" w:eastAsia="MS ??" w:hAnsi="Arial" w:cs="Times New Roman"/>
          <w:szCs w:val="20"/>
          <w:lang w:val="en-AU" w:eastAsia="ja-JP"/>
        </w:rPr>
        <w:t>Audit costs represent the costs of the annual audit of each council and a proportion of the costs of auditing the LTPs (prepared triennially). The costs were sourced from Council annual reports for 2012-13.</w:t>
      </w: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spacing w:after="0" w:line="240" w:lineRule="auto"/>
        <w:contextualSpacing/>
        <w:jc w:val="both"/>
        <w:rPr>
          <w:rFonts w:ascii="Arial" w:eastAsia="MS ??" w:hAnsi="Arial" w:cs="Times New Roman"/>
          <w:szCs w:val="20"/>
          <w:lang w:val="en-AU" w:eastAsia="ja-JP"/>
        </w:rPr>
      </w:pPr>
    </w:p>
    <w:p w:rsidR="004E3EE2" w:rsidRPr="004E3EE2" w:rsidRDefault="004E3EE2" w:rsidP="004E3EE2">
      <w:pPr>
        <w:spacing w:after="0" w:line="240" w:lineRule="auto"/>
        <w:rPr>
          <w:rFonts w:ascii="Arial" w:eastAsia="MS ??" w:hAnsi="Arial" w:cs="Times New Roman"/>
          <w:b/>
          <w:i/>
          <w:szCs w:val="20"/>
          <w:lang w:val="en-AU" w:eastAsia="ja-JP"/>
        </w:rPr>
      </w:pPr>
      <w:r w:rsidRPr="004E3EE2">
        <w:rPr>
          <w:rFonts w:ascii="Arial" w:eastAsia="MS ??" w:hAnsi="Arial" w:cs="Times New Roman"/>
          <w:b/>
          <w:i/>
          <w:szCs w:val="20"/>
          <w:lang w:val="en-AU" w:eastAsia="ja-JP"/>
        </w:rPr>
        <w:t>Option 4 - Assumptions on Savings</w:t>
      </w:r>
    </w:p>
    <w:p w:rsidR="004E3EE2" w:rsidRPr="004E3EE2" w:rsidRDefault="004E3EE2" w:rsidP="004E3EE2">
      <w:pPr>
        <w:spacing w:after="0" w:line="240" w:lineRule="auto"/>
        <w:ind w:left="720"/>
        <w:contextualSpacing/>
        <w:rPr>
          <w:rFonts w:ascii="Arial" w:eastAsia="MS ??" w:hAnsi="Arial" w:cs="Times New Roman"/>
          <w:szCs w:val="20"/>
          <w:lang w:val="en-AU" w:eastAsia="ja-JP"/>
        </w:rPr>
      </w:pPr>
    </w:p>
    <w:p w:rsidR="004E3EE2" w:rsidRPr="004E3EE2" w:rsidRDefault="004E3EE2" w:rsidP="004E3EE2">
      <w:pPr>
        <w:numPr>
          <w:ilvl w:val="0"/>
          <w:numId w:val="33"/>
        </w:numPr>
        <w:spacing w:after="0" w:line="240" w:lineRule="auto"/>
        <w:contextualSpacing/>
        <w:jc w:val="both"/>
        <w:rPr>
          <w:rFonts w:ascii="Arial" w:eastAsia="MS ??" w:hAnsi="Arial" w:cs="Times New Roman"/>
          <w:i/>
          <w:szCs w:val="20"/>
          <w:lang w:val="en-AU" w:eastAsia="ja-JP"/>
        </w:rPr>
      </w:pPr>
      <w:r w:rsidRPr="004E3EE2">
        <w:rPr>
          <w:rFonts w:ascii="Arial" w:eastAsia="MS ??" w:hAnsi="Arial" w:cs="Times New Roman"/>
          <w:i/>
          <w:szCs w:val="20"/>
          <w:lang w:val="en-AU" w:eastAsia="ja-JP"/>
        </w:rPr>
        <w:t>Assumptions on savings on Council activities</w:t>
      </w:r>
    </w:p>
    <w:p w:rsidR="004E3EE2" w:rsidRPr="004E3EE2" w:rsidRDefault="004E3EE2" w:rsidP="004E3EE2">
      <w:pPr>
        <w:spacing w:after="0" w:line="240" w:lineRule="auto"/>
        <w:rPr>
          <w:rFonts w:ascii="Arial" w:eastAsia="MS ??" w:hAnsi="Arial" w:cs="Times New Roman"/>
          <w:i/>
          <w:szCs w:val="20"/>
          <w:lang w:val="en-AU" w:eastAsia="ja-JP"/>
        </w:rPr>
      </w:pPr>
    </w:p>
    <w:p w:rsidR="004E3EE2" w:rsidRDefault="003606D5" w:rsidP="004E3EE2">
      <w:pPr>
        <w:spacing w:after="0" w:line="240" w:lineRule="auto"/>
        <w:rPr>
          <w:rFonts w:ascii="Arial" w:eastAsia="MS ??" w:hAnsi="Arial" w:cs="Times New Roman"/>
          <w:i/>
          <w:szCs w:val="20"/>
          <w:lang w:val="en-AU" w:eastAsia="ja-JP"/>
        </w:rPr>
      </w:pPr>
      <w:r>
        <w:rPr>
          <w:rFonts w:ascii="Arial" w:eastAsia="MS ??" w:hAnsi="Arial" w:cs="Times New Roman"/>
          <w:i/>
          <w:szCs w:val="20"/>
          <w:lang w:val="en-AU" w:eastAsia="ja-JP"/>
        </w:rPr>
        <w:t xml:space="preserve">Table 14     Option 4 </w:t>
      </w:r>
      <w:r w:rsidR="004E3EE2" w:rsidRPr="004E3EE2">
        <w:rPr>
          <w:rFonts w:ascii="Arial" w:eastAsia="MS ??" w:hAnsi="Arial" w:cs="Times New Roman"/>
          <w:i/>
          <w:szCs w:val="20"/>
          <w:lang w:val="en-AU" w:eastAsia="ja-JP"/>
        </w:rPr>
        <w:t xml:space="preserve"> </w:t>
      </w:r>
      <w:r w:rsidR="0065222E">
        <w:rPr>
          <w:rFonts w:ascii="Arial" w:eastAsia="MS ??" w:hAnsi="Arial" w:cs="Times New Roman"/>
          <w:i/>
          <w:szCs w:val="20"/>
          <w:lang w:val="en-AU" w:eastAsia="ja-JP"/>
        </w:rPr>
        <w:t xml:space="preserve">  </w:t>
      </w:r>
      <w:r w:rsidR="004E3EE2" w:rsidRPr="004E3EE2">
        <w:rPr>
          <w:rFonts w:ascii="Arial" w:eastAsia="MS ??" w:hAnsi="Arial" w:cs="Times New Roman"/>
          <w:i/>
          <w:szCs w:val="20"/>
          <w:lang w:val="en-AU" w:eastAsia="ja-JP"/>
        </w:rPr>
        <w:t xml:space="preserve">Savings </w:t>
      </w:r>
      <w:r w:rsidR="0073388A">
        <w:rPr>
          <w:rFonts w:ascii="Arial" w:eastAsia="MS ??" w:hAnsi="Arial" w:cs="Times New Roman"/>
          <w:i/>
          <w:szCs w:val="20"/>
          <w:lang w:val="en-AU" w:eastAsia="ja-JP"/>
        </w:rPr>
        <w:t xml:space="preserve">assumptions </w:t>
      </w:r>
      <w:r w:rsidR="004E3EE2" w:rsidRPr="004E3EE2">
        <w:rPr>
          <w:rFonts w:ascii="Arial" w:eastAsia="MS ??" w:hAnsi="Arial" w:cs="Times New Roman"/>
          <w:i/>
          <w:szCs w:val="20"/>
          <w:lang w:val="en-AU" w:eastAsia="ja-JP"/>
        </w:rPr>
        <w:t>on activities opex</w:t>
      </w:r>
    </w:p>
    <w:p w:rsidR="0073388A" w:rsidRDefault="0073388A" w:rsidP="004E3EE2">
      <w:pPr>
        <w:spacing w:after="0" w:line="240" w:lineRule="auto"/>
        <w:rPr>
          <w:rFonts w:ascii="Arial" w:eastAsia="MS ??" w:hAnsi="Arial" w:cs="Times New Roman"/>
          <w:i/>
          <w:szCs w:val="20"/>
          <w:lang w:val="en-AU" w:eastAsia="ja-JP"/>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8"/>
        <w:gridCol w:w="7970"/>
      </w:tblGrid>
      <w:tr w:rsidR="0073388A" w:rsidRPr="0073388A" w:rsidTr="0073388A">
        <w:tc>
          <w:tcPr>
            <w:tcW w:w="2628" w:type="dxa"/>
          </w:tcPr>
          <w:p w:rsidR="0073388A" w:rsidRPr="0073388A" w:rsidRDefault="0073388A" w:rsidP="0073388A">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Regulatory</w:t>
            </w:r>
          </w:p>
          <w:p w:rsidR="0073388A" w:rsidRPr="0073388A" w:rsidRDefault="0073388A" w:rsidP="0073388A">
            <w:pPr>
              <w:spacing w:after="0" w:line="240" w:lineRule="auto"/>
              <w:rPr>
                <w:rFonts w:ascii="Arial" w:eastAsia="MS ??" w:hAnsi="Arial" w:cs="Times New Roman"/>
                <w:szCs w:val="20"/>
                <w:lang w:eastAsia="ja-JP"/>
              </w:rPr>
            </w:pPr>
          </w:p>
        </w:tc>
        <w:tc>
          <w:tcPr>
            <w:tcW w:w="7970" w:type="dxa"/>
          </w:tcPr>
          <w:p w:rsidR="0073388A" w:rsidRPr="0073388A" w:rsidRDefault="0073388A" w:rsidP="0073388A">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Graduated savings on base regulatory expenditure of 5% by year 4 will result fro</w:t>
            </w:r>
            <w:r>
              <w:rPr>
                <w:rFonts w:ascii="Arial" w:eastAsia="MS ??" w:hAnsi="Arial" w:cs="Times New Roman"/>
                <w:szCs w:val="20"/>
                <w:lang w:eastAsia="ja-JP"/>
              </w:rPr>
              <w:t xml:space="preserve">m one Regional </w:t>
            </w:r>
            <w:r w:rsidRPr="0073388A">
              <w:rPr>
                <w:rFonts w:ascii="Arial" w:eastAsia="MS ??" w:hAnsi="Arial" w:cs="Times New Roman"/>
                <w:szCs w:val="20"/>
                <w:lang w:eastAsia="ja-JP"/>
              </w:rPr>
              <w:t>Plan and centralised RMA administration.</w:t>
            </w:r>
          </w:p>
          <w:p w:rsidR="0073388A" w:rsidRPr="0073388A" w:rsidRDefault="0073388A" w:rsidP="0073388A">
            <w:pPr>
              <w:spacing w:after="0" w:line="240" w:lineRule="auto"/>
              <w:rPr>
                <w:rFonts w:ascii="Arial" w:eastAsia="MS ??" w:hAnsi="Arial" w:cs="Times New Roman"/>
                <w:szCs w:val="20"/>
                <w:lang w:eastAsia="ja-JP"/>
              </w:rPr>
            </w:pPr>
          </w:p>
        </w:tc>
      </w:tr>
      <w:tr w:rsidR="0073388A" w:rsidRPr="0073388A" w:rsidTr="0073388A">
        <w:tc>
          <w:tcPr>
            <w:tcW w:w="2628" w:type="dxa"/>
          </w:tcPr>
          <w:p w:rsidR="0073388A" w:rsidRPr="0073388A" w:rsidRDefault="0073388A" w:rsidP="0073388A">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Water, Wastewater and Stormwater</w:t>
            </w:r>
            <w:r>
              <w:rPr>
                <w:rFonts w:ascii="Arial" w:eastAsia="MS ??" w:hAnsi="Arial" w:cs="Times New Roman"/>
                <w:szCs w:val="20"/>
                <w:lang w:eastAsia="ja-JP"/>
              </w:rPr>
              <w:t xml:space="preserve"> (three waters)</w:t>
            </w:r>
          </w:p>
          <w:p w:rsidR="0073388A" w:rsidRPr="0073388A" w:rsidRDefault="0073388A" w:rsidP="0073388A">
            <w:pPr>
              <w:spacing w:after="0" w:line="240" w:lineRule="auto"/>
              <w:rPr>
                <w:rFonts w:ascii="Arial" w:eastAsia="MS ??" w:hAnsi="Arial" w:cs="Times New Roman"/>
                <w:szCs w:val="20"/>
                <w:lang w:eastAsia="ja-JP"/>
              </w:rPr>
            </w:pPr>
          </w:p>
        </w:tc>
        <w:tc>
          <w:tcPr>
            <w:tcW w:w="7970" w:type="dxa"/>
          </w:tcPr>
          <w:p w:rsidR="0073388A" w:rsidRPr="0073388A" w:rsidRDefault="0073388A" w:rsidP="0073388A">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Graduated savings by year 4 of 2% of base expenditure will result from;</w:t>
            </w:r>
          </w:p>
          <w:p w:rsidR="0073388A" w:rsidRPr="0073388A" w:rsidRDefault="0073388A" w:rsidP="0073388A">
            <w:pPr>
              <w:numPr>
                <w:ilvl w:val="0"/>
                <w:numId w:val="13"/>
              </w:num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streamlined management</w:t>
            </w:r>
          </w:p>
          <w:p w:rsidR="0073388A" w:rsidRPr="0073388A" w:rsidRDefault="0073388A" w:rsidP="0073388A">
            <w:pPr>
              <w:numPr>
                <w:ilvl w:val="0"/>
                <w:numId w:val="13"/>
              </w:num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economies of scale (especially asset management)</w:t>
            </w:r>
          </w:p>
          <w:p w:rsidR="0073388A" w:rsidRPr="0073388A" w:rsidRDefault="0073388A" w:rsidP="0073388A">
            <w:pPr>
              <w:numPr>
                <w:ilvl w:val="0"/>
                <w:numId w:val="13"/>
              </w:num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 xml:space="preserve">rationalised operating and maintenance contracts. </w:t>
            </w:r>
          </w:p>
          <w:p w:rsidR="0073388A" w:rsidRPr="0073388A" w:rsidRDefault="0073388A" w:rsidP="0073388A">
            <w:pPr>
              <w:numPr>
                <w:ilvl w:val="0"/>
                <w:numId w:val="13"/>
              </w:num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Unified and integrated asset management</w:t>
            </w:r>
          </w:p>
          <w:p w:rsidR="0073388A" w:rsidRPr="0073388A" w:rsidRDefault="0073388A" w:rsidP="0073388A">
            <w:pPr>
              <w:spacing w:after="0" w:line="240" w:lineRule="auto"/>
              <w:rPr>
                <w:rFonts w:ascii="Arial" w:eastAsia="MS ??" w:hAnsi="Arial" w:cs="Times New Roman"/>
                <w:szCs w:val="20"/>
                <w:lang w:eastAsia="ja-JP"/>
              </w:rPr>
            </w:pPr>
          </w:p>
        </w:tc>
      </w:tr>
      <w:tr w:rsidR="0073388A" w:rsidRPr="0073388A" w:rsidTr="0073388A">
        <w:tc>
          <w:tcPr>
            <w:tcW w:w="2628" w:type="dxa"/>
          </w:tcPr>
          <w:p w:rsidR="0073388A" w:rsidRPr="0073388A" w:rsidRDefault="0073388A" w:rsidP="0073388A">
            <w:pPr>
              <w:spacing w:after="0" w:line="240" w:lineRule="auto"/>
              <w:rPr>
                <w:rFonts w:ascii="Arial" w:eastAsia="MS ??" w:hAnsi="Arial" w:cs="Times New Roman"/>
                <w:szCs w:val="20"/>
                <w:lang w:eastAsia="ja-JP"/>
              </w:rPr>
            </w:pPr>
            <w:r>
              <w:rPr>
                <w:rFonts w:ascii="Arial" w:eastAsia="MS ??" w:hAnsi="Arial" w:cs="Times New Roman"/>
                <w:szCs w:val="20"/>
                <w:lang w:eastAsia="ja-JP"/>
              </w:rPr>
              <w:t>Transportation</w:t>
            </w:r>
          </w:p>
          <w:p w:rsidR="0073388A" w:rsidRPr="0073388A" w:rsidRDefault="0073388A" w:rsidP="0073388A">
            <w:pPr>
              <w:spacing w:after="0" w:line="240" w:lineRule="auto"/>
              <w:rPr>
                <w:rFonts w:ascii="Arial" w:eastAsia="MS ??" w:hAnsi="Arial" w:cs="Times New Roman"/>
                <w:szCs w:val="20"/>
                <w:lang w:eastAsia="ja-JP"/>
              </w:rPr>
            </w:pPr>
          </w:p>
        </w:tc>
        <w:tc>
          <w:tcPr>
            <w:tcW w:w="7970" w:type="dxa"/>
          </w:tcPr>
          <w:p w:rsidR="0073388A" w:rsidRPr="0073388A" w:rsidRDefault="0073388A" w:rsidP="0073388A">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 xml:space="preserve">Graduated savings </w:t>
            </w:r>
            <w:r>
              <w:rPr>
                <w:rFonts w:ascii="Arial" w:eastAsia="MS ??" w:hAnsi="Arial" w:cs="Times New Roman"/>
                <w:szCs w:val="20"/>
                <w:lang w:eastAsia="ja-JP"/>
              </w:rPr>
              <w:t xml:space="preserve">on roading and footpaths </w:t>
            </w:r>
            <w:r w:rsidRPr="0073388A">
              <w:rPr>
                <w:rFonts w:ascii="Arial" w:eastAsia="MS ??" w:hAnsi="Arial" w:cs="Times New Roman"/>
                <w:szCs w:val="20"/>
                <w:lang w:eastAsia="ja-JP"/>
              </w:rPr>
              <w:t>by year 4 of 1% of base expenditure will result from;</w:t>
            </w:r>
          </w:p>
          <w:p w:rsidR="0073388A" w:rsidRPr="0073388A" w:rsidRDefault="0073388A" w:rsidP="0073388A">
            <w:pPr>
              <w:numPr>
                <w:ilvl w:val="0"/>
                <w:numId w:val="13"/>
              </w:num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streamlined management</w:t>
            </w:r>
          </w:p>
          <w:p w:rsidR="0073388A" w:rsidRPr="0073388A" w:rsidRDefault="0073388A" w:rsidP="0073388A">
            <w:pPr>
              <w:numPr>
                <w:ilvl w:val="0"/>
                <w:numId w:val="13"/>
              </w:num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economies of scale (especially asset management)</w:t>
            </w:r>
          </w:p>
          <w:p w:rsidR="0073388A" w:rsidRPr="0073388A" w:rsidRDefault="0073388A" w:rsidP="0073388A">
            <w:pPr>
              <w:numPr>
                <w:ilvl w:val="0"/>
                <w:numId w:val="13"/>
              </w:num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 xml:space="preserve">rationalised operating and maintenance contracts. </w:t>
            </w:r>
          </w:p>
          <w:p w:rsidR="0073388A" w:rsidRPr="0073388A" w:rsidRDefault="0073388A" w:rsidP="0073388A">
            <w:pPr>
              <w:numPr>
                <w:ilvl w:val="0"/>
                <w:numId w:val="13"/>
              </w:num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Unified and integrated asset manage</w:t>
            </w:r>
          </w:p>
          <w:p w:rsidR="0073388A" w:rsidRPr="0073388A" w:rsidRDefault="0073388A" w:rsidP="0073388A">
            <w:pPr>
              <w:spacing w:after="0" w:line="240" w:lineRule="auto"/>
              <w:rPr>
                <w:rFonts w:ascii="Arial" w:eastAsia="MS ??" w:hAnsi="Arial" w:cs="Times New Roman"/>
                <w:szCs w:val="20"/>
                <w:lang w:eastAsia="ja-JP"/>
              </w:rPr>
            </w:pPr>
          </w:p>
          <w:p w:rsidR="0073388A" w:rsidRPr="0073388A" w:rsidRDefault="0073388A" w:rsidP="0073388A">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Lesser savings are assumed for roading compared to the three Waters due to efficiencies already driven via NZTA processes</w:t>
            </w:r>
            <w:r>
              <w:rPr>
                <w:rFonts w:ascii="Arial" w:eastAsia="MS ??" w:hAnsi="Arial" w:cs="Times New Roman"/>
                <w:szCs w:val="20"/>
                <w:lang w:eastAsia="ja-JP"/>
              </w:rPr>
              <w:t>. No savings are expected for public transport payments.</w:t>
            </w:r>
          </w:p>
        </w:tc>
      </w:tr>
      <w:tr w:rsidR="0073388A" w:rsidRPr="0073388A" w:rsidTr="0073388A">
        <w:tc>
          <w:tcPr>
            <w:tcW w:w="2628" w:type="dxa"/>
          </w:tcPr>
          <w:p w:rsidR="0073388A" w:rsidRPr="0073388A" w:rsidRDefault="0073388A" w:rsidP="0073388A">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Solid Waste</w:t>
            </w:r>
          </w:p>
          <w:p w:rsidR="0073388A" w:rsidRPr="0073388A" w:rsidRDefault="0073388A" w:rsidP="0073388A">
            <w:pPr>
              <w:spacing w:after="0" w:line="240" w:lineRule="auto"/>
              <w:rPr>
                <w:rFonts w:ascii="Arial" w:eastAsia="MS ??" w:hAnsi="Arial" w:cs="Times New Roman"/>
                <w:szCs w:val="20"/>
                <w:lang w:eastAsia="ja-JP"/>
              </w:rPr>
            </w:pPr>
          </w:p>
        </w:tc>
        <w:tc>
          <w:tcPr>
            <w:tcW w:w="7970" w:type="dxa"/>
          </w:tcPr>
          <w:p w:rsidR="0073388A" w:rsidRPr="0073388A" w:rsidRDefault="0073388A" w:rsidP="0073388A">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No savings assumed given the increased focus on recycling and recovery</w:t>
            </w:r>
          </w:p>
        </w:tc>
      </w:tr>
      <w:tr w:rsidR="0073388A" w:rsidRPr="0073388A" w:rsidTr="0073388A">
        <w:tc>
          <w:tcPr>
            <w:tcW w:w="2628" w:type="dxa"/>
          </w:tcPr>
          <w:p w:rsidR="0073388A" w:rsidRPr="0073388A" w:rsidRDefault="0073388A" w:rsidP="0073388A">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 xml:space="preserve">Economic Development </w:t>
            </w:r>
          </w:p>
          <w:p w:rsidR="0073388A" w:rsidRPr="0073388A" w:rsidRDefault="0073388A" w:rsidP="0073388A">
            <w:pPr>
              <w:spacing w:after="0" w:line="240" w:lineRule="auto"/>
              <w:rPr>
                <w:rFonts w:ascii="Arial" w:eastAsia="MS ??" w:hAnsi="Arial" w:cs="Times New Roman"/>
                <w:szCs w:val="20"/>
                <w:lang w:eastAsia="ja-JP"/>
              </w:rPr>
            </w:pPr>
          </w:p>
        </w:tc>
        <w:tc>
          <w:tcPr>
            <w:tcW w:w="7970" w:type="dxa"/>
          </w:tcPr>
          <w:p w:rsidR="0073388A" w:rsidRPr="0073388A" w:rsidRDefault="0073388A" w:rsidP="0073388A">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No savings assumed</w:t>
            </w:r>
          </w:p>
        </w:tc>
      </w:tr>
      <w:tr w:rsidR="0073388A" w:rsidRPr="0073388A" w:rsidTr="0073388A">
        <w:tc>
          <w:tcPr>
            <w:tcW w:w="2628" w:type="dxa"/>
            <w:tcBorders>
              <w:top w:val="single" w:sz="4" w:space="0" w:color="000000"/>
              <w:left w:val="single" w:sz="4" w:space="0" w:color="000000"/>
              <w:bottom w:val="single" w:sz="4" w:space="0" w:color="000000"/>
              <w:right w:val="single" w:sz="4" w:space="0" w:color="000000"/>
            </w:tcBorders>
          </w:tcPr>
          <w:p w:rsidR="0073388A" w:rsidRPr="0073388A" w:rsidRDefault="0073388A" w:rsidP="00922121">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Community Facilities</w:t>
            </w:r>
            <w:r>
              <w:rPr>
                <w:rFonts w:ascii="Arial" w:eastAsia="MS ??" w:hAnsi="Arial" w:cs="Times New Roman"/>
                <w:szCs w:val="20"/>
                <w:lang w:eastAsia="ja-JP"/>
              </w:rPr>
              <w:t xml:space="preserve"> and other activities</w:t>
            </w:r>
          </w:p>
          <w:p w:rsidR="0073388A" w:rsidRPr="0073388A" w:rsidRDefault="0073388A" w:rsidP="00922121">
            <w:pPr>
              <w:spacing w:after="0" w:line="240" w:lineRule="auto"/>
              <w:rPr>
                <w:rFonts w:ascii="Arial" w:eastAsia="MS ??" w:hAnsi="Arial" w:cs="Times New Roman"/>
                <w:szCs w:val="20"/>
                <w:lang w:eastAsia="ja-JP"/>
              </w:rPr>
            </w:pPr>
          </w:p>
        </w:tc>
        <w:tc>
          <w:tcPr>
            <w:tcW w:w="7970" w:type="dxa"/>
            <w:tcBorders>
              <w:top w:val="single" w:sz="4" w:space="0" w:color="000000"/>
              <w:left w:val="single" w:sz="4" w:space="0" w:color="000000"/>
              <w:bottom w:val="single" w:sz="4" w:space="0" w:color="000000"/>
              <w:right w:val="single" w:sz="4" w:space="0" w:color="000000"/>
            </w:tcBorders>
          </w:tcPr>
          <w:p w:rsidR="0073388A" w:rsidRPr="0073388A" w:rsidRDefault="0073388A" w:rsidP="00922121">
            <w:pPr>
              <w:spacing w:after="0" w:line="240" w:lineRule="auto"/>
              <w:rPr>
                <w:rFonts w:ascii="Arial" w:eastAsia="MS ??" w:hAnsi="Arial" w:cs="Times New Roman"/>
                <w:szCs w:val="20"/>
                <w:lang w:eastAsia="ja-JP"/>
              </w:rPr>
            </w:pPr>
            <w:r w:rsidRPr="0073388A">
              <w:rPr>
                <w:rFonts w:ascii="Arial" w:eastAsia="MS ??" w:hAnsi="Arial" w:cs="Times New Roman"/>
                <w:szCs w:val="20"/>
                <w:lang w:eastAsia="ja-JP"/>
              </w:rPr>
              <w:t xml:space="preserve">Graduated savings of 1% on base expenditure will result from streamlined management, economies of scale and rationalised operating and maintenance contracts. </w:t>
            </w:r>
          </w:p>
          <w:p w:rsidR="0073388A" w:rsidRPr="0073388A" w:rsidRDefault="0073388A" w:rsidP="00922121">
            <w:pPr>
              <w:spacing w:after="0" w:line="240" w:lineRule="auto"/>
              <w:rPr>
                <w:rFonts w:ascii="Arial" w:eastAsia="MS ??" w:hAnsi="Arial" w:cs="Times New Roman"/>
                <w:szCs w:val="20"/>
                <w:lang w:eastAsia="ja-JP"/>
              </w:rPr>
            </w:pPr>
          </w:p>
        </w:tc>
      </w:tr>
    </w:tbl>
    <w:p w:rsidR="0073388A" w:rsidRPr="004E3EE2" w:rsidRDefault="0073388A" w:rsidP="004E3EE2">
      <w:pPr>
        <w:spacing w:after="0" w:line="240" w:lineRule="auto"/>
        <w:rPr>
          <w:rFonts w:ascii="Arial" w:eastAsia="MS ??" w:hAnsi="Arial" w:cs="Times New Roman"/>
          <w:i/>
          <w:szCs w:val="20"/>
          <w:lang w:val="en-AU" w:eastAsia="ja-JP"/>
        </w:rPr>
      </w:pPr>
    </w:p>
    <w:p w:rsidR="004E3EE2" w:rsidRDefault="004E3EE2" w:rsidP="004E3EE2">
      <w:pPr>
        <w:spacing w:after="0" w:line="240" w:lineRule="auto"/>
        <w:rPr>
          <w:rFonts w:ascii="Arial" w:eastAsia="MS ??" w:hAnsi="Arial" w:cs="Times New Roman"/>
          <w:szCs w:val="20"/>
          <w:lang w:val="en-AU" w:eastAsia="ja-JP"/>
        </w:rPr>
      </w:pPr>
    </w:p>
    <w:p w:rsidR="004B3F5B" w:rsidRDefault="004B3F5B" w:rsidP="004E3EE2">
      <w:pPr>
        <w:spacing w:after="0" w:line="240" w:lineRule="auto"/>
        <w:rPr>
          <w:rFonts w:ascii="Arial" w:eastAsia="MS ??" w:hAnsi="Arial" w:cs="Times New Roman"/>
          <w:szCs w:val="20"/>
          <w:lang w:val="en-AU" w:eastAsia="ja-JP"/>
        </w:rPr>
      </w:pPr>
    </w:p>
    <w:p w:rsidR="004B3F5B" w:rsidRDefault="004B3F5B" w:rsidP="004E3EE2">
      <w:pPr>
        <w:spacing w:after="0" w:line="240" w:lineRule="auto"/>
        <w:rPr>
          <w:rFonts w:ascii="Arial" w:eastAsia="MS ??" w:hAnsi="Arial" w:cs="Times New Roman"/>
          <w:szCs w:val="20"/>
          <w:lang w:val="en-AU" w:eastAsia="ja-JP"/>
        </w:rPr>
      </w:pPr>
    </w:p>
    <w:p w:rsidR="004B3F5B" w:rsidRDefault="004B3F5B" w:rsidP="004E3EE2">
      <w:pPr>
        <w:spacing w:after="0" w:line="240" w:lineRule="auto"/>
        <w:rPr>
          <w:rFonts w:ascii="Arial" w:eastAsia="MS ??" w:hAnsi="Arial" w:cs="Times New Roman"/>
          <w:szCs w:val="20"/>
          <w:lang w:val="en-AU" w:eastAsia="ja-JP"/>
        </w:rPr>
      </w:pPr>
    </w:p>
    <w:p w:rsidR="004B3F5B" w:rsidRDefault="004B3F5B" w:rsidP="004E3EE2">
      <w:pPr>
        <w:spacing w:after="0" w:line="240" w:lineRule="auto"/>
        <w:rPr>
          <w:rFonts w:ascii="Arial" w:eastAsia="MS ??" w:hAnsi="Arial" w:cs="Times New Roman"/>
          <w:szCs w:val="20"/>
          <w:lang w:val="en-AU" w:eastAsia="ja-JP"/>
        </w:rPr>
      </w:pPr>
    </w:p>
    <w:p w:rsidR="004B3F5B" w:rsidRDefault="004B3F5B" w:rsidP="004E3EE2">
      <w:pPr>
        <w:spacing w:after="0" w:line="240" w:lineRule="auto"/>
        <w:rPr>
          <w:rFonts w:ascii="Arial" w:eastAsia="MS ??" w:hAnsi="Arial" w:cs="Times New Roman"/>
          <w:szCs w:val="20"/>
          <w:lang w:val="en-AU" w:eastAsia="ja-JP"/>
        </w:rPr>
      </w:pPr>
    </w:p>
    <w:p w:rsidR="004B3F5B" w:rsidRDefault="004B3F5B" w:rsidP="004E3EE2">
      <w:pPr>
        <w:spacing w:after="0" w:line="240" w:lineRule="auto"/>
        <w:rPr>
          <w:rFonts w:ascii="Arial" w:eastAsia="MS ??" w:hAnsi="Arial" w:cs="Times New Roman"/>
          <w:szCs w:val="20"/>
          <w:lang w:val="en-AU" w:eastAsia="ja-JP"/>
        </w:rPr>
      </w:pPr>
    </w:p>
    <w:p w:rsidR="004B3F5B" w:rsidRDefault="004B3F5B" w:rsidP="004E3EE2">
      <w:pPr>
        <w:spacing w:after="0" w:line="240" w:lineRule="auto"/>
        <w:rPr>
          <w:rFonts w:ascii="Arial" w:eastAsia="MS ??" w:hAnsi="Arial" w:cs="Times New Roman"/>
          <w:szCs w:val="20"/>
          <w:lang w:val="en-AU" w:eastAsia="ja-JP"/>
        </w:rPr>
      </w:pPr>
    </w:p>
    <w:p w:rsidR="004B3F5B" w:rsidRDefault="004B3F5B" w:rsidP="004E3EE2">
      <w:pPr>
        <w:spacing w:after="0" w:line="240" w:lineRule="auto"/>
        <w:rPr>
          <w:rFonts w:ascii="Arial" w:eastAsia="MS ??" w:hAnsi="Arial" w:cs="Times New Roman"/>
          <w:szCs w:val="20"/>
          <w:lang w:val="en-AU" w:eastAsia="ja-JP"/>
        </w:rPr>
      </w:pPr>
    </w:p>
    <w:p w:rsidR="004B3F5B" w:rsidRDefault="004B3F5B" w:rsidP="004E3EE2">
      <w:pPr>
        <w:spacing w:after="0" w:line="240" w:lineRule="auto"/>
        <w:rPr>
          <w:rFonts w:ascii="Arial" w:eastAsia="MS ??" w:hAnsi="Arial" w:cs="Times New Roman"/>
          <w:szCs w:val="20"/>
          <w:lang w:val="en-AU" w:eastAsia="ja-JP"/>
        </w:rPr>
      </w:pPr>
    </w:p>
    <w:p w:rsidR="004B3F5B" w:rsidRDefault="004B3F5B" w:rsidP="004E3EE2">
      <w:pPr>
        <w:spacing w:after="0" w:line="240" w:lineRule="auto"/>
        <w:rPr>
          <w:rFonts w:ascii="Arial" w:eastAsia="MS ??" w:hAnsi="Arial" w:cs="Times New Roman"/>
          <w:szCs w:val="20"/>
          <w:lang w:val="en-AU" w:eastAsia="ja-JP"/>
        </w:rPr>
      </w:pPr>
    </w:p>
    <w:p w:rsidR="004B3F5B" w:rsidRPr="003606D5" w:rsidRDefault="003606D5" w:rsidP="004E3EE2">
      <w:pPr>
        <w:spacing w:after="0" w:line="240" w:lineRule="auto"/>
        <w:rPr>
          <w:rFonts w:ascii="Arial" w:eastAsia="MS ??" w:hAnsi="Arial" w:cs="Times New Roman"/>
          <w:i/>
          <w:szCs w:val="20"/>
          <w:lang w:val="en-AU" w:eastAsia="ja-JP"/>
        </w:rPr>
      </w:pPr>
      <w:r w:rsidRPr="003606D5">
        <w:rPr>
          <w:rFonts w:ascii="Arial" w:eastAsia="MS ??" w:hAnsi="Arial" w:cs="Times New Roman"/>
          <w:i/>
          <w:szCs w:val="20"/>
          <w:lang w:val="en-AU" w:eastAsia="ja-JP"/>
        </w:rPr>
        <w:t xml:space="preserve">Table 15    Option 4  </w:t>
      </w:r>
      <w:r>
        <w:rPr>
          <w:rFonts w:ascii="Arial" w:eastAsia="MS ??" w:hAnsi="Arial" w:cs="Times New Roman"/>
          <w:i/>
          <w:szCs w:val="20"/>
          <w:lang w:val="en-AU" w:eastAsia="ja-JP"/>
        </w:rPr>
        <w:t xml:space="preserve">  </w:t>
      </w:r>
      <w:r w:rsidRPr="003606D5">
        <w:rPr>
          <w:rFonts w:ascii="Arial" w:eastAsia="MS ??" w:hAnsi="Arial" w:cs="Times New Roman"/>
          <w:i/>
          <w:szCs w:val="20"/>
          <w:lang w:val="en-AU" w:eastAsia="ja-JP"/>
        </w:rPr>
        <w:t xml:space="preserve">Assessed activity opex savings </w:t>
      </w:r>
    </w:p>
    <w:p w:rsidR="003606D5" w:rsidRDefault="003606D5" w:rsidP="004E3EE2">
      <w:pPr>
        <w:spacing w:after="0" w:line="240" w:lineRule="auto"/>
        <w:rPr>
          <w:rFonts w:ascii="Arial" w:eastAsia="MS ??" w:hAnsi="Arial" w:cs="Times New Roman"/>
          <w:szCs w:val="20"/>
          <w:lang w:val="en-AU" w:eastAsia="ja-JP"/>
        </w:rPr>
      </w:pPr>
    </w:p>
    <w:p w:rsidR="004B3F5B" w:rsidRPr="004E3EE2" w:rsidRDefault="004B3F5B" w:rsidP="004E3EE2">
      <w:pPr>
        <w:spacing w:after="0" w:line="240" w:lineRule="auto"/>
        <w:rPr>
          <w:rFonts w:ascii="Arial" w:eastAsia="MS ??" w:hAnsi="Arial" w:cs="Times New Roman"/>
          <w:szCs w:val="20"/>
          <w:lang w:val="en-AU" w:eastAsia="ja-JP"/>
        </w:rPr>
      </w:pPr>
      <w:r w:rsidRPr="004B3F5B">
        <w:rPr>
          <w:noProof/>
          <w:lang w:eastAsia="en-NZ"/>
        </w:rPr>
        <w:drawing>
          <wp:inline distT="0" distB="0" distL="0" distR="0">
            <wp:extent cx="4998720" cy="238506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8720" cy="2385060"/>
                    </a:xfrm>
                    <a:prstGeom prst="rect">
                      <a:avLst/>
                    </a:prstGeom>
                    <a:noFill/>
                    <a:ln>
                      <a:noFill/>
                    </a:ln>
                  </pic:spPr>
                </pic:pic>
              </a:graphicData>
            </a:graphic>
          </wp:inline>
        </w:drawing>
      </w:r>
    </w:p>
    <w:p w:rsidR="004E3EE2" w:rsidRPr="004E3EE2" w:rsidRDefault="004E3EE2" w:rsidP="004E3EE2">
      <w:pPr>
        <w:spacing w:after="0" w:line="240" w:lineRule="auto"/>
        <w:rPr>
          <w:rFonts w:ascii="Arial" w:eastAsia="MS ??" w:hAnsi="Arial" w:cs="Times New Roman"/>
          <w:szCs w:val="20"/>
          <w:lang w:val="en-AU" w:eastAsia="ja-JP"/>
        </w:rPr>
      </w:pPr>
    </w:p>
    <w:p w:rsidR="004E3EE2" w:rsidRDefault="004E3EE2" w:rsidP="004E3EE2">
      <w:pPr>
        <w:spacing w:after="0" w:line="240" w:lineRule="auto"/>
        <w:rPr>
          <w:rFonts w:ascii="Arial" w:eastAsia="MS ??" w:hAnsi="Arial" w:cs="Times New Roman"/>
          <w:i/>
          <w:szCs w:val="20"/>
          <w:lang w:val="en-AU" w:eastAsia="ja-JP"/>
        </w:rPr>
      </w:pPr>
    </w:p>
    <w:p w:rsidR="004E3EE2" w:rsidRDefault="003606D5" w:rsidP="004E3EE2">
      <w:pPr>
        <w:spacing w:after="0" w:line="240" w:lineRule="auto"/>
        <w:rPr>
          <w:rFonts w:ascii="Arial" w:eastAsia="MS ??" w:hAnsi="Arial" w:cs="Times New Roman"/>
          <w:i/>
          <w:szCs w:val="20"/>
          <w:lang w:val="en-AU" w:eastAsia="ja-JP"/>
        </w:rPr>
      </w:pPr>
      <w:r>
        <w:rPr>
          <w:rFonts w:ascii="Arial" w:eastAsia="MS ??" w:hAnsi="Arial" w:cs="Times New Roman"/>
          <w:i/>
          <w:szCs w:val="20"/>
          <w:lang w:val="en-AU" w:eastAsia="ja-JP"/>
        </w:rPr>
        <w:t xml:space="preserve">Table 16     Option 4   </w:t>
      </w:r>
      <w:r w:rsidR="004E3EE2" w:rsidRPr="004E3EE2">
        <w:rPr>
          <w:rFonts w:ascii="Arial" w:eastAsia="MS ??" w:hAnsi="Arial" w:cs="Times New Roman"/>
          <w:i/>
          <w:szCs w:val="20"/>
          <w:lang w:val="en-AU" w:eastAsia="ja-JP"/>
        </w:rPr>
        <w:t xml:space="preserve">Savings </w:t>
      </w:r>
      <w:r w:rsidR="004B3F5B">
        <w:rPr>
          <w:rFonts w:ascii="Arial" w:eastAsia="MS ??" w:hAnsi="Arial" w:cs="Times New Roman"/>
          <w:i/>
          <w:szCs w:val="20"/>
          <w:lang w:val="en-AU" w:eastAsia="ja-JP"/>
        </w:rPr>
        <w:t xml:space="preserve">assumptions </w:t>
      </w:r>
      <w:r w:rsidR="004E3EE2" w:rsidRPr="004E3EE2">
        <w:rPr>
          <w:rFonts w:ascii="Arial" w:eastAsia="MS ??" w:hAnsi="Arial" w:cs="Times New Roman"/>
          <w:i/>
          <w:szCs w:val="20"/>
          <w:lang w:val="en-AU" w:eastAsia="ja-JP"/>
        </w:rPr>
        <w:t>on activities capex</w:t>
      </w:r>
    </w:p>
    <w:p w:rsidR="004B3F5B" w:rsidRPr="004E3EE2" w:rsidRDefault="004B3F5B" w:rsidP="004E3EE2">
      <w:pPr>
        <w:spacing w:after="0" w:line="240" w:lineRule="auto"/>
        <w:rPr>
          <w:rFonts w:ascii="Arial" w:eastAsia="MS ??" w:hAnsi="Arial" w:cs="Times New Roman"/>
          <w:i/>
          <w:szCs w:val="20"/>
          <w:lang w:val="en-AU" w:eastAsia="ja-JP"/>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8"/>
        <w:gridCol w:w="7970"/>
      </w:tblGrid>
      <w:tr w:rsidR="004B3F5B" w:rsidRPr="004B3F5B" w:rsidTr="004B3F5B">
        <w:tc>
          <w:tcPr>
            <w:tcW w:w="2628"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Regulatory</w:t>
            </w:r>
          </w:p>
          <w:p w:rsidR="004B3F5B" w:rsidRPr="004B3F5B" w:rsidRDefault="004B3F5B" w:rsidP="004B3F5B">
            <w:pPr>
              <w:spacing w:after="0" w:line="240" w:lineRule="auto"/>
              <w:rPr>
                <w:rFonts w:ascii="Arial" w:eastAsia="MS ??" w:hAnsi="Arial" w:cs="Times New Roman"/>
                <w:szCs w:val="20"/>
                <w:lang w:eastAsia="ja-JP"/>
              </w:rPr>
            </w:pPr>
          </w:p>
        </w:tc>
        <w:tc>
          <w:tcPr>
            <w:tcW w:w="7970"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No savings assumed. Present capex predictions are small. There may need to be investment in new IT systems</w:t>
            </w:r>
          </w:p>
          <w:p w:rsidR="004B3F5B" w:rsidRPr="004B3F5B" w:rsidRDefault="004B3F5B" w:rsidP="004B3F5B">
            <w:pPr>
              <w:spacing w:after="0" w:line="240" w:lineRule="auto"/>
              <w:rPr>
                <w:rFonts w:ascii="Arial" w:eastAsia="MS ??" w:hAnsi="Arial" w:cs="Times New Roman"/>
                <w:szCs w:val="20"/>
                <w:lang w:eastAsia="ja-JP"/>
              </w:rPr>
            </w:pPr>
          </w:p>
        </w:tc>
      </w:tr>
      <w:tr w:rsidR="004B3F5B" w:rsidRPr="004B3F5B" w:rsidTr="004B3F5B">
        <w:tc>
          <w:tcPr>
            <w:tcW w:w="2628"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Community Facilities</w:t>
            </w:r>
          </w:p>
        </w:tc>
        <w:tc>
          <w:tcPr>
            <w:tcW w:w="7970"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Graduated savings of 1% of base capex by year 4 will likely result from better and integrated capex project planning and delivery</w:t>
            </w:r>
          </w:p>
          <w:p w:rsidR="004B3F5B" w:rsidRPr="004B3F5B" w:rsidRDefault="004B3F5B" w:rsidP="004B3F5B">
            <w:pPr>
              <w:spacing w:after="0" w:line="240" w:lineRule="auto"/>
              <w:rPr>
                <w:rFonts w:ascii="Arial" w:eastAsia="MS ??" w:hAnsi="Arial" w:cs="Times New Roman"/>
                <w:szCs w:val="20"/>
                <w:lang w:eastAsia="ja-JP"/>
              </w:rPr>
            </w:pPr>
          </w:p>
        </w:tc>
      </w:tr>
      <w:tr w:rsidR="004B3F5B" w:rsidRPr="004B3F5B" w:rsidTr="004B3F5B">
        <w:tc>
          <w:tcPr>
            <w:tcW w:w="2628"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Water, Wastewater and Stormwater</w:t>
            </w:r>
            <w:r>
              <w:rPr>
                <w:rFonts w:ascii="Arial" w:eastAsia="MS ??" w:hAnsi="Arial" w:cs="Times New Roman"/>
                <w:szCs w:val="20"/>
                <w:lang w:eastAsia="ja-JP"/>
              </w:rPr>
              <w:t xml:space="preserve"> (three waters)</w:t>
            </w:r>
          </w:p>
          <w:p w:rsidR="004B3F5B" w:rsidRPr="004B3F5B" w:rsidRDefault="004B3F5B" w:rsidP="004B3F5B">
            <w:pPr>
              <w:spacing w:after="0" w:line="240" w:lineRule="auto"/>
              <w:rPr>
                <w:rFonts w:ascii="Arial" w:eastAsia="MS ??" w:hAnsi="Arial" w:cs="Times New Roman"/>
                <w:szCs w:val="20"/>
                <w:lang w:eastAsia="ja-JP"/>
              </w:rPr>
            </w:pPr>
          </w:p>
        </w:tc>
        <w:tc>
          <w:tcPr>
            <w:tcW w:w="7970"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Graduated savings of 1% of base capex by year 4 will likely result from;</w:t>
            </w:r>
          </w:p>
          <w:p w:rsidR="004B3F5B" w:rsidRPr="004B3F5B" w:rsidRDefault="004B3F5B" w:rsidP="004B3F5B">
            <w:pPr>
              <w:numPr>
                <w:ilvl w:val="0"/>
                <w:numId w:val="15"/>
              </w:num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Better capex project planning and delivery</w:t>
            </w:r>
          </w:p>
          <w:p w:rsidR="004B3F5B" w:rsidRPr="004B3F5B" w:rsidRDefault="004B3F5B" w:rsidP="004B3F5B">
            <w:pPr>
              <w:numPr>
                <w:ilvl w:val="0"/>
                <w:numId w:val="15"/>
              </w:num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Network approach to renewals</w:t>
            </w:r>
          </w:p>
          <w:p w:rsidR="004B3F5B" w:rsidRPr="004B3F5B" w:rsidRDefault="004B3F5B" w:rsidP="004B3F5B">
            <w:pPr>
              <w:numPr>
                <w:ilvl w:val="0"/>
                <w:numId w:val="15"/>
              </w:num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Centralised administration of contracts</w:t>
            </w:r>
          </w:p>
          <w:p w:rsidR="004B3F5B" w:rsidRPr="004B3F5B" w:rsidRDefault="004B3F5B" w:rsidP="004B3F5B">
            <w:pPr>
              <w:spacing w:after="0" w:line="240" w:lineRule="auto"/>
              <w:rPr>
                <w:rFonts w:ascii="Arial" w:eastAsia="MS ??" w:hAnsi="Arial" w:cs="Times New Roman"/>
                <w:szCs w:val="20"/>
                <w:lang w:eastAsia="ja-JP"/>
              </w:rPr>
            </w:pPr>
          </w:p>
        </w:tc>
      </w:tr>
      <w:tr w:rsidR="004B3F5B" w:rsidRPr="004B3F5B" w:rsidTr="004B3F5B">
        <w:tc>
          <w:tcPr>
            <w:tcW w:w="2628"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Roading</w:t>
            </w:r>
          </w:p>
          <w:p w:rsidR="004B3F5B" w:rsidRPr="004B3F5B" w:rsidRDefault="004B3F5B" w:rsidP="004B3F5B">
            <w:pPr>
              <w:spacing w:after="0" w:line="240" w:lineRule="auto"/>
              <w:rPr>
                <w:rFonts w:ascii="Arial" w:eastAsia="MS ??" w:hAnsi="Arial" w:cs="Times New Roman"/>
                <w:szCs w:val="20"/>
                <w:lang w:eastAsia="ja-JP"/>
              </w:rPr>
            </w:pPr>
          </w:p>
        </w:tc>
        <w:tc>
          <w:tcPr>
            <w:tcW w:w="7970"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Graduated savings of 1% of base capex by year4 will likely result from;</w:t>
            </w:r>
          </w:p>
          <w:p w:rsidR="004B3F5B" w:rsidRPr="004B3F5B" w:rsidRDefault="004B3F5B" w:rsidP="004B3F5B">
            <w:pPr>
              <w:numPr>
                <w:ilvl w:val="0"/>
                <w:numId w:val="15"/>
              </w:num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better capex project planning and delivery</w:t>
            </w:r>
          </w:p>
          <w:p w:rsidR="004B3F5B" w:rsidRPr="004B3F5B" w:rsidRDefault="004B3F5B" w:rsidP="004B3F5B">
            <w:pPr>
              <w:numPr>
                <w:ilvl w:val="0"/>
                <w:numId w:val="15"/>
              </w:num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network approach to renewals</w:t>
            </w:r>
          </w:p>
          <w:p w:rsidR="004B3F5B" w:rsidRPr="004B3F5B" w:rsidRDefault="004B3F5B" w:rsidP="004B3F5B">
            <w:pPr>
              <w:numPr>
                <w:ilvl w:val="0"/>
                <w:numId w:val="15"/>
              </w:num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Centralised administration of contracts</w:t>
            </w:r>
          </w:p>
          <w:p w:rsidR="004B3F5B" w:rsidRPr="004B3F5B" w:rsidRDefault="004B3F5B" w:rsidP="004B3F5B">
            <w:pPr>
              <w:spacing w:after="0" w:line="240" w:lineRule="auto"/>
              <w:rPr>
                <w:rFonts w:ascii="Arial" w:eastAsia="MS ??" w:hAnsi="Arial" w:cs="Times New Roman"/>
                <w:szCs w:val="20"/>
                <w:lang w:eastAsia="ja-JP"/>
              </w:rPr>
            </w:pPr>
          </w:p>
        </w:tc>
      </w:tr>
      <w:tr w:rsidR="004B3F5B" w:rsidRPr="004B3F5B" w:rsidTr="004B3F5B">
        <w:tc>
          <w:tcPr>
            <w:tcW w:w="2628"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Solid Waste</w:t>
            </w:r>
          </w:p>
          <w:p w:rsidR="004B3F5B" w:rsidRPr="004B3F5B" w:rsidRDefault="004B3F5B" w:rsidP="004B3F5B">
            <w:pPr>
              <w:spacing w:after="0" w:line="240" w:lineRule="auto"/>
              <w:rPr>
                <w:rFonts w:ascii="Arial" w:eastAsia="MS ??" w:hAnsi="Arial" w:cs="Times New Roman"/>
                <w:szCs w:val="20"/>
                <w:lang w:eastAsia="ja-JP"/>
              </w:rPr>
            </w:pPr>
          </w:p>
        </w:tc>
        <w:tc>
          <w:tcPr>
            <w:tcW w:w="7970"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No change assumed given the increased focus on recycling and recovery</w:t>
            </w:r>
          </w:p>
        </w:tc>
      </w:tr>
      <w:tr w:rsidR="004B3F5B" w:rsidRPr="004B3F5B" w:rsidTr="004B3F5B">
        <w:tc>
          <w:tcPr>
            <w:tcW w:w="2628"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Community Facilities</w:t>
            </w:r>
            <w:r>
              <w:rPr>
                <w:rFonts w:ascii="Arial" w:eastAsia="MS ??" w:hAnsi="Arial" w:cs="Times New Roman"/>
                <w:szCs w:val="20"/>
                <w:lang w:eastAsia="ja-JP"/>
              </w:rPr>
              <w:t xml:space="preserve"> and other activities</w:t>
            </w:r>
          </w:p>
        </w:tc>
        <w:tc>
          <w:tcPr>
            <w:tcW w:w="7970" w:type="dxa"/>
          </w:tcPr>
          <w:p w:rsidR="004B3F5B" w:rsidRPr="004B3F5B" w:rsidRDefault="004B3F5B" w:rsidP="004B3F5B">
            <w:pPr>
              <w:spacing w:after="0" w:line="240" w:lineRule="auto"/>
              <w:rPr>
                <w:rFonts w:ascii="Arial" w:eastAsia="MS ??" w:hAnsi="Arial" w:cs="Times New Roman"/>
                <w:szCs w:val="20"/>
                <w:lang w:eastAsia="ja-JP"/>
              </w:rPr>
            </w:pPr>
            <w:r w:rsidRPr="004B3F5B">
              <w:rPr>
                <w:rFonts w:ascii="Arial" w:eastAsia="MS ??" w:hAnsi="Arial" w:cs="Times New Roman"/>
                <w:szCs w:val="20"/>
                <w:lang w:eastAsia="ja-JP"/>
              </w:rPr>
              <w:t>Graduated savings of 1% of base capex by year 4 will likely result from better and integrated capex project planning and delivery</w:t>
            </w:r>
          </w:p>
          <w:p w:rsidR="004B3F5B" w:rsidRPr="004B3F5B" w:rsidRDefault="004B3F5B" w:rsidP="004B3F5B">
            <w:pPr>
              <w:spacing w:after="0" w:line="240" w:lineRule="auto"/>
              <w:rPr>
                <w:rFonts w:ascii="Arial" w:eastAsia="MS ??" w:hAnsi="Arial" w:cs="Times New Roman"/>
                <w:szCs w:val="20"/>
                <w:lang w:eastAsia="ja-JP"/>
              </w:rPr>
            </w:pPr>
          </w:p>
        </w:tc>
      </w:tr>
    </w:tbl>
    <w:p w:rsidR="004E3EE2" w:rsidRDefault="004E3EE2" w:rsidP="004E3EE2">
      <w:pPr>
        <w:spacing w:after="0" w:line="240" w:lineRule="auto"/>
        <w:rPr>
          <w:rFonts w:ascii="Arial" w:eastAsia="MS ??" w:hAnsi="Arial" w:cs="Times New Roman"/>
          <w:szCs w:val="20"/>
          <w:lang w:val="en-AU" w:eastAsia="ja-JP"/>
        </w:rPr>
      </w:pPr>
    </w:p>
    <w:p w:rsidR="003606D5" w:rsidRPr="003606D5" w:rsidRDefault="003606D5" w:rsidP="003606D5">
      <w:pPr>
        <w:spacing w:after="0" w:line="240" w:lineRule="auto"/>
        <w:rPr>
          <w:rFonts w:ascii="Arial" w:eastAsia="MS ??" w:hAnsi="Arial" w:cs="Times New Roman"/>
          <w:i/>
          <w:szCs w:val="20"/>
          <w:lang w:val="en-AU" w:eastAsia="ja-JP"/>
        </w:rPr>
      </w:pPr>
      <w:r w:rsidRPr="003606D5">
        <w:rPr>
          <w:rFonts w:ascii="Arial" w:eastAsia="MS ??" w:hAnsi="Arial" w:cs="Times New Roman"/>
          <w:i/>
          <w:szCs w:val="20"/>
          <w:lang w:val="en-AU" w:eastAsia="ja-JP"/>
        </w:rPr>
        <w:t xml:space="preserve">Table 17    Option 4  </w:t>
      </w:r>
      <w:r>
        <w:rPr>
          <w:rFonts w:ascii="Arial" w:eastAsia="MS ??" w:hAnsi="Arial" w:cs="Times New Roman"/>
          <w:i/>
          <w:szCs w:val="20"/>
          <w:lang w:val="en-AU" w:eastAsia="ja-JP"/>
        </w:rPr>
        <w:t xml:space="preserve">  Assessed activity ca</w:t>
      </w:r>
      <w:r w:rsidRPr="003606D5">
        <w:rPr>
          <w:rFonts w:ascii="Arial" w:eastAsia="MS ??" w:hAnsi="Arial" w:cs="Times New Roman"/>
          <w:i/>
          <w:szCs w:val="20"/>
          <w:lang w:val="en-AU" w:eastAsia="ja-JP"/>
        </w:rPr>
        <w:t xml:space="preserve">pex savings </w:t>
      </w:r>
    </w:p>
    <w:p w:rsidR="003606D5" w:rsidRDefault="003606D5" w:rsidP="004E3EE2">
      <w:pPr>
        <w:spacing w:after="0" w:line="240" w:lineRule="auto"/>
        <w:rPr>
          <w:rFonts w:ascii="Arial" w:eastAsia="MS ??" w:hAnsi="Arial" w:cs="Times New Roman"/>
          <w:szCs w:val="20"/>
          <w:lang w:val="en-AU" w:eastAsia="ja-JP"/>
        </w:rPr>
      </w:pPr>
    </w:p>
    <w:p w:rsidR="004E3EE2" w:rsidRPr="0065222E" w:rsidRDefault="00013964" w:rsidP="003606D5">
      <w:pPr>
        <w:spacing w:after="0" w:line="240" w:lineRule="auto"/>
        <w:rPr>
          <w:rFonts w:ascii="Arial" w:eastAsia="MS ??" w:hAnsi="Arial" w:cs="Times New Roman"/>
          <w:szCs w:val="20"/>
          <w:lang w:val="en-AU" w:eastAsia="ja-JP"/>
        </w:rPr>
      </w:pPr>
      <w:r w:rsidRPr="00013964">
        <w:rPr>
          <w:noProof/>
          <w:lang w:eastAsia="en-NZ"/>
        </w:rPr>
        <w:drawing>
          <wp:inline distT="0" distB="0" distL="0" distR="0">
            <wp:extent cx="5204460" cy="18364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04460" cy="1836420"/>
                    </a:xfrm>
                    <a:prstGeom prst="rect">
                      <a:avLst/>
                    </a:prstGeom>
                    <a:noFill/>
                    <a:ln>
                      <a:noFill/>
                    </a:ln>
                  </pic:spPr>
                </pic:pic>
              </a:graphicData>
            </a:graphic>
          </wp:inline>
        </w:drawing>
      </w:r>
    </w:p>
    <w:p w:rsidR="004E3EE2" w:rsidRPr="004E3EE2" w:rsidRDefault="004E3EE2" w:rsidP="004E3EE2">
      <w:pPr>
        <w:spacing w:after="0" w:line="240" w:lineRule="auto"/>
        <w:ind w:left="720"/>
        <w:rPr>
          <w:rFonts w:ascii="Arial" w:eastAsia="MS ??" w:hAnsi="Arial" w:cs="Times New Roman"/>
          <w:i/>
          <w:szCs w:val="20"/>
          <w:lang w:val="en-AU" w:eastAsia="ja-JP"/>
        </w:rPr>
      </w:pPr>
    </w:p>
    <w:p w:rsidR="004E3EE2" w:rsidRPr="004E3EE2" w:rsidRDefault="004E3EE2" w:rsidP="004E3EE2">
      <w:pPr>
        <w:numPr>
          <w:ilvl w:val="0"/>
          <w:numId w:val="33"/>
        </w:numPr>
        <w:spacing w:after="0" w:line="240" w:lineRule="auto"/>
        <w:contextualSpacing/>
        <w:jc w:val="both"/>
        <w:rPr>
          <w:rFonts w:ascii="Arial" w:eastAsia="MS ??" w:hAnsi="Arial" w:cs="Times New Roman"/>
          <w:i/>
          <w:szCs w:val="20"/>
          <w:lang w:val="en-AU" w:eastAsia="ja-JP"/>
        </w:rPr>
      </w:pPr>
      <w:r w:rsidRPr="004E3EE2">
        <w:rPr>
          <w:rFonts w:ascii="Arial" w:eastAsia="MS ??" w:hAnsi="Arial" w:cs="Times New Roman"/>
          <w:i/>
          <w:szCs w:val="20"/>
          <w:lang w:val="en-AU" w:eastAsia="ja-JP"/>
        </w:rPr>
        <w:t>Assumptions on savings on Council corporate costs- personnel</w:t>
      </w:r>
    </w:p>
    <w:p w:rsidR="004E3EE2" w:rsidRPr="004E3EE2" w:rsidRDefault="004E3EE2" w:rsidP="004E3EE2">
      <w:pPr>
        <w:spacing w:after="0" w:line="240" w:lineRule="auto"/>
        <w:rPr>
          <w:rFonts w:ascii="Arial" w:eastAsia="MS ??" w:hAnsi="Arial" w:cs="Times New Roman"/>
          <w:szCs w:val="20"/>
          <w:lang w:val="en-AU" w:eastAsia="ja-JP"/>
        </w:rPr>
      </w:pPr>
    </w:p>
    <w:p w:rsidR="004E3EE2" w:rsidRPr="003606D5" w:rsidRDefault="003606D5" w:rsidP="004E3EE2">
      <w:pPr>
        <w:spacing w:after="0" w:line="240" w:lineRule="auto"/>
        <w:rPr>
          <w:rFonts w:ascii="Arial" w:eastAsia="MS ??" w:hAnsi="Arial" w:cs="Times New Roman"/>
          <w:i/>
          <w:szCs w:val="20"/>
          <w:lang w:val="en-AU" w:eastAsia="ja-JP"/>
        </w:rPr>
      </w:pPr>
      <w:r w:rsidRPr="003606D5">
        <w:rPr>
          <w:rFonts w:ascii="Arial" w:eastAsia="MS ??" w:hAnsi="Arial" w:cs="Times New Roman"/>
          <w:i/>
          <w:szCs w:val="20"/>
          <w:lang w:val="en-AU" w:eastAsia="ja-JP"/>
        </w:rPr>
        <w:t xml:space="preserve">Table 18     Option 4   </w:t>
      </w:r>
      <w:r w:rsidR="004E3EE2" w:rsidRPr="004E3EE2">
        <w:rPr>
          <w:rFonts w:ascii="Arial" w:eastAsia="MS ??" w:hAnsi="Arial" w:cs="Times New Roman"/>
          <w:i/>
          <w:szCs w:val="20"/>
          <w:lang w:val="en-AU" w:eastAsia="ja-JP"/>
        </w:rPr>
        <w:t>Savings on Corporate Support personnel</w:t>
      </w:r>
    </w:p>
    <w:p w:rsidR="00966BD8" w:rsidRDefault="00966BD8" w:rsidP="004E3EE2">
      <w:pPr>
        <w:spacing w:after="0" w:line="240" w:lineRule="auto"/>
        <w:rPr>
          <w:rFonts w:ascii="Arial" w:eastAsia="MS ??" w:hAnsi="Arial" w:cs="Times New Roman"/>
          <w:szCs w:val="20"/>
          <w:lang w:val="en-AU" w:eastAsia="ja-JP"/>
        </w:rPr>
      </w:pPr>
    </w:p>
    <w:p w:rsidR="00966BD8" w:rsidRPr="004E3EE2" w:rsidRDefault="00966BD8" w:rsidP="004E3EE2">
      <w:pPr>
        <w:spacing w:after="0" w:line="240" w:lineRule="auto"/>
        <w:rPr>
          <w:rFonts w:ascii="Arial" w:eastAsia="MS ??" w:hAnsi="Arial" w:cs="Times New Roman"/>
          <w:szCs w:val="20"/>
          <w:lang w:val="en-AU" w:eastAsia="ja-JP"/>
        </w:rPr>
      </w:pPr>
      <w:r w:rsidRPr="00966BD8">
        <w:rPr>
          <w:noProof/>
          <w:lang w:eastAsia="en-NZ"/>
        </w:rPr>
        <w:drawing>
          <wp:inline distT="0" distB="0" distL="0" distR="0">
            <wp:extent cx="6645910" cy="2912631"/>
            <wp:effectExtent l="0" t="0" r="254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5910" cy="2912631"/>
                    </a:xfrm>
                    <a:prstGeom prst="rect">
                      <a:avLst/>
                    </a:prstGeom>
                    <a:noFill/>
                    <a:ln>
                      <a:noFill/>
                    </a:ln>
                  </pic:spPr>
                </pic:pic>
              </a:graphicData>
            </a:graphic>
          </wp:inline>
        </w:drawing>
      </w:r>
    </w:p>
    <w:p w:rsidR="004E3EE2" w:rsidRDefault="004E3EE2" w:rsidP="004E3EE2">
      <w:pPr>
        <w:spacing w:after="0" w:line="240" w:lineRule="auto"/>
        <w:rPr>
          <w:rFonts w:ascii="Arial" w:eastAsia="MS ??" w:hAnsi="Arial" w:cs="Times New Roman"/>
          <w:szCs w:val="20"/>
          <w:lang w:val="en-AU" w:eastAsia="ja-JP"/>
        </w:rPr>
      </w:pPr>
    </w:p>
    <w:p w:rsidR="00966BD8" w:rsidRDefault="00966BD8" w:rsidP="004E3EE2">
      <w:pPr>
        <w:spacing w:after="0" w:line="240" w:lineRule="auto"/>
        <w:rPr>
          <w:rFonts w:ascii="Arial" w:eastAsia="MS ??" w:hAnsi="Arial" w:cs="Times New Roman"/>
          <w:szCs w:val="20"/>
          <w:lang w:val="en-AU" w:eastAsia="ja-JP"/>
        </w:rPr>
      </w:pPr>
      <w:r>
        <w:rPr>
          <w:rFonts w:ascii="Arial" w:eastAsia="MS ??" w:hAnsi="Arial" w:cs="Times New Roman"/>
          <w:szCs w:val="20"/>
          <w:lang w:val="en-AU" w:eastAsia="ja-JP"/>
        </w:rPr>
        <w:t>The assumptions underpinning the above savings include;</w:t>
      </w:r>
    </w:p>
    <w:p w:rsidR="00966BD8" w:rsidRDefault="00966BD8" w:rsidP="004E3EE2">
      <w:pPr>
        <w:spacing w:after="0" w:line="240" w:lineRule="auto"/>
        <w:rPr>
          <w:rFonts w:ascii="Arial" w:eastAsia="MS ??" w:hAnsi="Arial" w:cs="Times New Roman"/>
          <w:szCs w:val="20"/>
          <w:lang w:val="en-AU" w:eastAsia="ja-JP"/>
        </w:rPr>
      </w:pPr>
    </w:p>
    <w:p w:rsidR="00966BD8" w:rsidRDefault="00966BD8" w:rsidP="00966BD8">
      <w:pPr>
        <w:pStyle w:val="ListParagraph"/>
        <w:numPr>
          <w:ilvl w:val="0"/>
          <w:numId w:val="34"/>
        </w:numPr>
      </w:pPr>
      <w:r>
        <w:t xml:space="preserve">A </w:t>
      </w:r>
      <w:r w:rsidR="0063373A">
        <w:t xml:space="preserve">significant reduction in </w:t>
      </w:r>
      <w:r>
        <w:t>Finance corporate costs with centralised</w:t>
      </w:r>
      <w:r w:rsidR="0063373A">
        <w:t xml:space="preserve"> administration of rates, accounts receivable, accounts payable and payroll. There will also be rationalisation of external and internal financial reporting and financial planning with one LTP, one annual plan and one annual report.</w:t>
      </w:r>
    </w:p>
    <w:p w:rsidR="0063373A" w:rsidRDefault="0063373A" w:rsidP="00966BD8">
      <w:pPr>
        <w:pStyle w:val="ListParagraph"/>
        <w:numPr>
          <w:ilvl w:val="0"/>
          <w:numId w:val="34"/>
        </w:numPr>
      </w:pPr>
      <w:r>
        <w:t xml:space="preserve">IT FTEs would be expected to decrease, over time, by 40% commensurate with fewer IT applications and </w:t>
      </w:r>
      <w:r w:rsidR="003D0922">
        <w:t>systems</w:t>
      </w:r>
    </w:p>
    <w:p w:rsidR="003D0922" w:rsidRDefault="003D0922" w:rsidP="00966BD8">
      <w:pPr>
        <w:pStyle w:val="ListParagraph"/>
        <w:numPr>
          <w:ilvl w:val="0"/>
          <w:numId w:val="34"/>
        </w:numPr>
      </w:pPr>
      <w:r>
        <w:t>Communications FTEs will decrease with the lesser number of required external reports (from nine councils to one), one web site and a more integrated approach to communication activities</w:t>
      </w:r>
    </w:p>
    <w:p w:rsidR="003D0922" w:rsidRDefault="003D0922" w:rsidP="00966BD8">
      <w:pPr>
        <w:pStyle w:val="ListParagraph"/>
        <w:numPr>
          <w:ilvl w:val="0"/>
          <w:numId w:val="34"/>
        </w:numPr>
      </w:pPr>
      <w:r>
        <w:t>Future HR FTEs are based on industry benchmarks</w:t>
      </w:r>
    </w:p>
    <w:p w:rsidR="003D0922" w:rsidRDefault="003D0922" w:rsidP="00966BD8">
      <w:pPr>
        <w:pStyle w:val="ListParagraph"/>
        <w:numPr>
          <w:ilvl w:val="0"/>
          <w:numId w:val="34"/>
        </w:numPr>
      </w:pPr>
      <w:r>
        <w:t>Customer Service FTE numbers will reduce for back office functions such as customer call centres, but no reductions are assumed for “front of house” customer services for all existing service centres</w:t>
      </w:r>
    </w:p>
    <w:p w:rsidR="003D0922" w:rsidRPr="00966BD8" w:rsidRDefault="003D0922" w:rsidP="00966BD8">
      <w:pPr>
        <w:pStyle w:val="ListParagraph"/>
        <w:numPr>
          <w:ilvl w:val="0"/>
          <w:numId w:val="34"/>
        </w:numPr>
      </w:pPr>
      <w:r>
        <w:t>Future Mayoral and CEO support is estimated on the basis of nine staff for the Mayor and six for the CEO/Chief Operating Officer.</w:t>
      </w:r>
    </w:p>
    <w:p w:rsidR="00966BD8" w:rsidRPr="004E3EE2" w:rsidRDefault="00966BD8" w:rsidP="004E3EE2">
      <w:pPr>
        <w:spacing w:after="0" w:line="240" w:lineRule="auto"/>
        <w:rPr>
          <w:rFonts w:ascii="Arial" w:eastAsia="MS ??" w:hAnsi="Arial" w:cs="Times New Roman"/>
          <w:szCs w:val="20"/>
          <w:lang w:val="en-AU" w:eastAsia="ja-JP"/>
        </w:rPr>
      </w:pP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numPr>
          <w:ilvl w:val="0"/>
          <w:numId w:val="33"/>
        </w:numPr>
        <w:spacing w:after="0" w:line="240" w:lineRule="auto"/>
        <w:contextualSpacing/>
        <w:jc w:val="both"/>
        <w:rPr>
          <w:rFonts w:ascii="Arial" w:eastAsia="MS ??" w:hAnsi="Arial" w:cs="Times New Roman"/>
          <w:i/>
          <w:szCs w:val="20"/>
          <w:lang w:val="en-AU" w:eastAsia="ja-JP"/>
        </w:rPr>
      </w:pPr>
      <w:r w:rsidRPr="004E3EE2">
        <w:rPr>
          <w:rFonts w:ascii="Arial" w:eastAsia="MS ??" w:hAnsi="Arial" w:cs="Times New Roman"/>
          <w:i/>
          <w:szCs w:val="20"/>
          <w:lang w:val="en-AU" w:eastAsia="ja-JP"/>
        </w:rPr>
        <w:t>Assumptions on corporate savings other than personnel</w:t>
      </w: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spacing w:after="0" w:line="240" w:lineRule="auto"/>
        <w:rPr>
          <w:rFonts w:ascii="Arial" w:eastAsia="MS ??" w:hAnsi="Arial" w:cs="Times New Roman"/>
          <w:szCs w:val="20"/>
          <w:lang w:val="en-AU" w:eastAsia="ja-JP"/>
        </w:rPr>
      </w:pPr>
      <w:r w:rsidRPr="004E3EE2">
        <w:rPr>
          <w:rFonts w:ascii="Arial" w:eastAsia="MS ??" w:hAnsi="Arial" w:cs="Times New Roman"/>
          <w:szCs w:val="20"/>
          <w:lang w:val="en-AU" w:eastAsia="ja-JP"/>
        </w:rPr>
        <w:t>We assessed the total corporate costs by adding the internal charges of all nine councils and averaging these for a typical year of the LTP period 2012-22. These were discounted to 2014 dollars. We deducted from this total the budgeted corporate support personnel costs for 2013-14 to get a base expenditure of ‘other’ corporate costs.</w:t>
      </w: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spacing w:after="0" w:line="240" w:lineRule="auto"/>
        <w:rPr>
          <w:rFonts w:ascii="Arial" w:eastAsia="MS ??" w:hAnsi="Arial" w:cs="Times New Roman"/>
          <w:szCs w:val="20"/>
          <w:lang w:val="en-AU" w:eastAsia="ja-JP"/>
        </w:rPr>
      </w:pPr>
      <w:r w:rsidRPr="004E3EE2">
        <w:rPr>
          <w:rFonts w:ascii="Arial" w:eastAsia="MS ??" w:hAnsi="Arial" w:cs="Times New Roman"/>
          <w:szCs w:val="20"/>
          <w:lang w:val="en-AU" w:eastAsia="ja-JP"/>
        </w:rPr>
        <w:t>We assumed that there would be efficiencies in purchasing and rationalisation of other corporate costs resulting from nine councils reducing to one council.</w:t>
      </w: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spacing w:after="0" w:line="240" w:lineRule="auto"/>
        <w:rPr>
          <w:rFonts w:ascii="Arial" w:eastAsia="MS ??" w:hAnsi="Arial" w:cs="Times New Roman"/>
          <w:szCs w:val="20"/>
          <w:lang w:val="en-AU" w:eastAsia="ja-JP"/>
        </w:rPr>
      </w:pPr>
      <w:r w:rsidRPr="004E3EE2">
        <w:rPr>
          <w:rFonts w:ascii="Arial" w:eastAsia="MS ??" w:hAnsi="Arial" w:cs="Times New Roman"/>
          <w:szCs w:val="20"/>
          <w:lang w:val="en-AU" w:eastAsia="ja-JP"/>
        </w:rPr>
        <w:t>We assumed that there should be a 3% saving on the base expenditure by year 4. In earlier years there would be a graduated saving;</w:t>
      </w:r>
    </w:p>
    <w:p w:rsidR="004E3EE2" w:rsidRDefault="004E3EE2" w:rsidP="004E3EE2">
      <w:pPr>
        <w:spacing w:after="0" w:line="240" w:lineRule="auto"/>
        <w:rPr>
          <w:rFonts w:ascii="Arial" w:eastAsia="MS ??" w:hAnsi="Arial" w:cs="Times New Roman"/>
          <w:szCs w:val="20"/>
          <w:lang w:val="en-AU" w:eastAsia="ja-JP"/>
        </w:rPr>
      </w:pPr>
    </w:p>
    <w:p w:rsidR="003606D5" w:rsidRDefault="003606D5" w:rsidP="004E3EE2">
      <w:pPr>
        <w:spacing w:after="0" w:line="240" w:lineRule="auto"/>
        <w:rPr>
          <w:rFonts w:ascii="Arial" w:eastAsia="MS ??" w:hAnsi="Arial" w:cs="Times New Roman"/>
          <w:szCs w:val="20"/>
          <w:lang w:val="en-AU" w:eastAsia="ja-JP"/>
        </w:rPr>
      </w:pPr>
    </w:p>
    <w:p w:rsidR="003606D5" w:rsidRDefault="003606D5" w:rsidP="004E3EE2">
      <w:pPr>
        <w:spacing w:after="0" w:line="240" w:lineRule="auto"/>
        <w:rPr>
          <w:rFonts w:ascii="Arial" w:eastAsia="MS ??" w:hAnsi="Arial" w:cs="Times New Roman"/>
          <w:szCs w:val="20"/>
          <w:lang w:val="en-AU" w:eastAsia="ja-JP"/>
        </w:rPr>
      </w:pPr>
    </w:p>
    <w:p w:rsidR="003606D5" w:rsidRDefault="003606D5" w:rsidP="004E3EE2">
      <w:pPr>
        <w:spacing w:after="0" w:line="240" w:lineRule="auto"/>
        <w:rPr>
          <w:rFonts w:ascii="Arial" w:eastAsia="MS ??" w:hAnsi="Arial" w:cs="Times New Roman"/>
          <w:szCs w:val="20"/>
          <w:lang w:val="en-AU" w:eastAsia="ja-JP"/>
        </w:rPr>
      </w:pPr>
    </w:p>
    <w:p w:rsidR="003606D5" w:rsidRPr="004E3EE2" w:rsidRDefault="003606D5" w:rsidP="004E3EE2">
      <w:pPr>
        <w:spacing w:after="0" w:line="240" w:lineRule="auto"/>
        <w:rPr>
          <w:rFonts w:ascii="Arial" w:eastAsia="MS ??" w:hAnsi="Arial" w:cs="Times New Roman"/>
          <w:szCs w:val="20"/>
          <w:lang w:val="en-AU" w:eastAsia="ja-JP"/>
        </w:rPr>
      </w:pPr>
    </w:p>
    <w:p w:rsidR="004E3EE2" w:rsidRPr="004E3EE2" w:rsidRDefault="003606D5" w:rsidP="004E3EE2">
      <w:pPr>
        <w:spacing w:after="0" w:line="240" w:lineRule="auto"/>
        <w:rPr>
          <w:rFonts w:ascii="Arial" w:eastAsia="MS ??" w:hAnsi="Arial" w:cs="Times New Roman"/>
          <w:i/>
          <w:szCs w:val="20"/>
          <w:lang w:val="en-AU" w:eastAsia="ja-JP"/>
        </w:rPr>
      </w:pPr>
      <w:r w:rsidRPr="003606D5">
        <w:rPr>
          <w:rFonts w:ascii="Arial" w:eastAsia="MS ??" w:hAnsi="Arial" w:cs="Times New Roman"/>
          <w:i/>
          <w:szCs w:val="20"/>
          <w:lang w:val="en-AU" w:eastAsia="ja-JP"/>
        </w:rPr>
        <w:t xml:space="preserve">Table 19    Option 4  </w:t>
      </w:r>
      <w:r w:rsidR="004E3EE2" w:rsidRPr="004E3EE2">
        <w:rPr>
          <w:rFonts w:ascii="Arial" w:eastAsia="MS ??" w:hAnsi="Arial" w:cs="Times New Roman"/>
          <w:i/>
          <w:szCs w:val="20"/>
          <w:lang w:val="en-AU" w:eastAsia="ja-JP"/>
        </w:rPr>
        <w:t xml:space="preserve"> Savings on corporate costs other than personnel</w:t>
      </w: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C47F1E" w:rsidP="004E3EE2">
      <w:pPr>
        <w:spacing w:after="0" w:line="240" w:lineRule="auto"/>
        <w:rPr>
          <w:rFonts w:ascii="Arial" w:eastAsia="MS ??" w:hAnsi="Arial" w:cs="Times New Roman"/>
          <w:szCs w:val="20"/>
          <w:lang w:val="en-AU" w:eastAsia="ja-JP"/>
        </w:rPr>
      </w:pPr>
      <w:r w:rsidRPr="00C47F1E">
        <w:rPr>
          <w:noProof/>
          <w:lang w:eastAsia="en-NZ"/>
        </w:rPr>
        <w:drawing>
          <wp:inline distT="0" distB="0" distL="0" distR="0">
            <wp:extent cx="4892040" cy="1470660"/>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92040" cy="1470660"/>
                    </a:xfrm>
                    <a:prstGeom prst="rect">
                      <a:avLst/>
                    </a:prstGeom>
                    <a:noFill/>
                    <a:ln>
                      <a:noFill/>
                    </a:ln>
                  </pic:spPr>
                </pic:pic>
              </a:graphicData>
            </a:graphic>
          </wp:inline>
        </w:drawing>
      </w: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numPr>
          <w:ilvl w:val="0"/>
          <w:numId w:val="33"/>
        </w:numPr>
        <w:spacing w:after="0" w:line="240" w:lineRule="auto"/>
        <w:contextualSpacing/>
        <w:jc w:val="both"/>
        <w:rPr>
          <w:rFonts w:ascii="Arial" w:eastAsia="MS ??" w:hAnsi="Arial" w:cs="Times New Roman"/>
          <w:i/>
          <w:szCs w:val="20"/>
          <w:lang w:val="en-AU" w:eastAsia="ja-JP"/>
        </w:rPr>
      </w:pPr>
      <w:r w:rsidRPr="004E3EE2">
        <w:rPr>
          <w:rFonts w:ascii="Arial" w:eastAsia="MS ??" w:hAnsi="Arial" w:cs="Times New Roman"/>
          <w:i/>
          <w:szCs w:val="20"/>
          <w:lang w:val="en-AU" w:eastAsia="ja-JP"/>
        </w:rPr>
        <w:t>Assumptions on Governance savings</w:t>
      </w:r>
      <w:r w:rsidR="00C47F1E">
        <w:rPr>
          <w:rFonts w:ascii="Arial" w:eastAsia="MS ??" w:hAnsi="Arial" w:cs="Times New Roman"/>
          <w:i/>
          <w:szCs w:val="20"/>
          <w:lang w:val="en-AU" w:eastAsia="ja-JP"/>
        </w:rPr>
        <w:t xml:space="preserve"> (no local boards)</w:t>
      </w:r>
    </w:p>
    <w:p w:rsidR="004E3EE2" w:rsidRPr="004E3EE2" w:rsidRDefault="004E3EE2" w:rsidP="004E3EE2">
      <w:pPr>
        <w:spacing w:after="0" w:line="240" w:lineRule="auto"/>
        <w:rPr>
          <w:rFonts w:ascii="Arial" w:eastAsia="MS ??" w:hAnsi="Arial" w:cs="Times New Roman"/>
          <w:i/>
          <w:szCs w:val="20"/>
          <w:lang w:val="en-AU" w:eastAsia="ja-JP"/>
        </w:rPr>
      </w:pPr>
    </w:p>
    <w:p w:rsidR="004E3EE2" w:rsidRPr="003606D5" w:rsidRDefault="003606D5" w:rsidP="004E3EE2">
      <w:pPr>
        <w:spacing w:after="0" w:line="240" w:lineRule="auto"/>
        <w:rPr>
          <w:rFonts w:ascii="Arial" w:eastAsia="MS ??" w:hAnsi="Arial" w:cs="Times New Roman"/>
          <w:i/>
          <w:szCs w:val="20"/>
          <w:lang w:val="en-AU" w:eastAsia="ja-JP"/>
        </w:rPr>
      </w:pPr>
      <w:r w:rsidRPr="003606D5">
        <w:rPr>
          <w:rFonts w:ascii="Arial" w:eastAsia="MS ??" w:hAnsi="Arial" w:cs="Times New Roman"/>
          <w:i/>
          <w:szCs w:val="20"/>
          <w:lang w:val="en-AU" w:eastAsia="ja-JP"/>
        </w:rPr>
        <w:t xml:space="preserve">Table 20   Option 4   Assessed </w:t>
      </w:r>
      <w:r w:rsidR="004E3EE2" w:rsidRPr="004E3EE2">
        <w:rPr>
          <w:rFonts w:ascii="Arial" w:eastAsia="MS ??" w:hAnsi="Arial" w:cs="Times New Roman"/>
          <w:i/>
          <w:szCs w:val="20"/>
          <w:lang w:val="en-AU" w:eastAsia="ja-JP"/>
        </w:rPr>
        <w:t>Savings on Governance</w:t>
      </w:r>
      <w:r>
        <w:rPr>
          <w:rFonts w:ascii="Arial" w:eastAsia="MS ??" w:hAnsi="Arial" w:cs="Times New Roman"/>
          <w:i/>
          <w:szCs w:val="20"/>
          <w:lang w:val="en-AU" w:eastAsia="ja-JP"/>
        </w:rPr>
        <w:t xml:space="preserve"> (no local boards)</w:t>
      </w:r>
    </w:p>
    <w:p w:rsidR="00C47F1E" w:rsidRDefault="00C47F1E" w:rsidP="004E3EE2">
      <w:pPr>
        <w:spacing w:after="0" w:line="240" w:lineRule="auto"/>
        <w:rPr>
          <w:rFonts w:ascii="Arial" w:eastAsia="MS ??" w:hAnsi="Arial" w:cs="Times New Roman"/>
          <w:szCs w:val="20"/>
          <w:lang w:val="en-AU" w:eastAsia="ja-JP"/>
        </w:rPr>
      </w:pPr>
    </w:p>
    <w:p w:rsidR="00C47F1E" w:rsidRPr="004E3EE2" w:rsidRDefault="00C47F1E" w:rsidP="004E3EE2">
      <w:pPr>
        <w:spacing w:after="0" w:line="240" w:lineRule="auto"/>
        <w:rPr>
          <w:rFonts w:ascii="Arial" w:eastAsia="MS ??" w:hAnsi="Arial" w:cs="Times New Roman"/>
          <w:szCs w:val="20"/>
          <w:lang w:val="en-AU" w:eastAsia="ja-JP"/>
        </w:rPr>
      </w:pPr>
      <w:r w:rsidRPr="00C47F1E">
        <w:rPr>
          <w:noProof/>
          <w:lang w:eastAsia="en-NZ"/>
        </w:rPr>
        <w:drawing>
          <wp:inline distT="0" distB="0" distL="0" distR="0">
            <wp:extent cx="4968240" cy="3299460"/>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68240" cy="3299460"/>
                    </a:xfrm>
                    <a:prstGeom prst="rect">
                      <a:avLst/>
                    </a:prstGeom>
                    <a:noFill/>
                    <a:ln>
                      <a:noFill/>
                    </a:ln>
                  </pic:spPr>
                </pic:pic>
              </a:graphicData>
            </a:graphic>
          </wp:inline>
        </w:drawing>
      </w: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spacing w:after="0" w:line="240" w:lineRule="auto"/>
        <w:rPr>
          <w:rFonts w:ascii="Arial" w:eastAsia="MS ??" w:hAnsi="Arial" w:cs="Times New Roman"/>
          <w:szCs w:val="20"/>
          <w:lang w:val="en-AU" w:eastAsia="ja-JP"/>
        </w:rPr>
      </w:pPr>
    </w:p>
    <w:p w:rsidR="004E3EE2" w:rsidRDefault="00C47F1E" w:rsidP="004E3EE2">
      <w:pPr>
        <w:spacing w:after="0" w:line="240" w:lineRule="auto"/>
        <w:rPr>
          <w:rFonts w:ascii="Arial" w:eastAsia="MS ??" w:hAnsi="Arial" w:cs="Times New Roman"/>
          <w:szCs w:val="20"/>
          <w:lang w:val="en-AU" w:eastAsia="ja-JP"/>
        </w:rPr>
      </w:pPr>
      <w:r>
        <w:rPr>
          <w:rFonts w:ascii="Arial" w:eastAsia="MS ??" w:hAnsi="Arial" w:cs="Times New Roman"/>
          <w:szCs w:val="20"/>
          <w:lang w:val="en-AU" w:eastAsia="ja-JP"/>
        </w:rPr>
        <w:t>Notes</w:t>
      </w:r>
    </w:p>
    <w:p w:rsidR="00C47F1E" w:rsidRDefault="00C47F1E" w:rsidP="004E3EE2">
      <w:pPr>
        <w:spacing w:after="0" w:line="240" w:lineRule="auto"/>
        <w:rPr>
          <w:rFonts w:ascii="Arial" w:eastAsia="MS ??" w:hAnsi="Arial" w:cs="Times New Roman"/>
          <w:szCs w:val="20"/>
          <w:lang w:val="en-AU" w:eastAsia="ja-JP"/>
        </w:rPr>
      </w:pPr>
    </w:p>
    <w:p w:rsidR="00C47F1E" w:rsidRDefault="00C47F1E" w:rsidP="00C47F1E">
      <w:pPr>
        <w:pStyle w:val="ListParagraph"/>
        <w:numPr>
          <w:ilvl w:val="0"/>
          <w:numId w:val="35"/>
        </w:numPr>
      </w:pPr>
      <w:r>
        <w:t>At the time of the preparation of this report it was assumed that there would be 19 Councillors. This may change in the formal LGC proposal.</w:t>
      </w:r>
    </w:p>
    <w:p w:rsidR="00C47F1E" w:rsidRPr="00C47F1E" w:rsidRDefault="00C47F1E" w:rsidP="00C47F1E">
      <w:pPr>
        <w:pStyle w:val="ListParagraph"/>
        <w:numPr>
          <w:ilvl w:val="0"/>
          <w:numId w:val="35"/>
        </w:numPr>
      </w:pPr>
      <w:r>
        <w:t>For the 19 councillors assumed</w:t>
      </w:r>
      <w:r w:rsidR="0094335C">
        <w:t>, six will be committee chairs at an annual remuneration of $110k each. The remaining councillors are assumed to have annual remuneration of $95k</w:t>
      </w:r>
    </w:p>
    <w:p w:rsidR="004E3EE2" w:rsidRDefault="004E3EE2" w:rsidP="004E3EE2">
      <w:pPr>
        <w:spacing w:after="0" w:line="240" w:lineRule="auto"/>
        <w:rPr>
          <w:rFonts w:ascii="Arial" w:eastAsia="MS ??" w:hAnsi="Arial" w:cs="Times New Roman"/>
          <w:szCs w:val="20"/>
          <w:lang w:val="en-AU" w:eastAsia="ja-JP"/>
        </w:rPr>
      </w:pPr>
    </w:p>
    <w:p w:rsidR="0094335C" w:rsidRDefault="0094335C" w:rsidP="004E3EE2">
      <w:pPr>
        <w:spacing w:after="0" w:line="240" w:lineRule="auto"/>
        <w:rPr>
          <w:rFonts w:ascii="Arial" w:eastAsia="MS ??" w:hAnsi="Arial" w:cs="Times New Roman"/>
          <w:szCs w:val="20"/>
          <w:lang w:val="en-AU" w:eastAsia="ja-JP"/>
        </w:rPr>
      </w:pPr>
    </w:p>
    <w:p w:rsidR="003606D5" w:rsidRDefault="003606D5" w:rsidP="004E3EE2">
      <w:pPr>
        <w:spacing w:after="0" w:line="240" w:lineRule="auto"/>
        <w:rPr>
          <w:rFonts w:ascii="Arial" w:eastAsia="MS ??" w:hAnsi="Arial" w:cs="Times New Roman"/>
          <w:szCs w:val="20"/>
          <w:lang w:val="en-AU" w:eastAsia="ja-JP"/>
        </w:rPr>
      </w:pPr>
    </w:p>
    <w:p w:rsidR="003606D5" w:rsidRDefault="003606D5" w:rsidP="004E3EE2">
      <w:pPr>
        <w:spacing w:after="0" w:line="240" w:lineRule="auto"/>
        <w:rPr>
          <w:rFonts w:ascii="Arial" w:eastAsia="MS ??" w:hAnsi="Arial" w:cs="Times New Roman"/>
          <w:szCs w:val="20"/>
          <w:lang w:val="en-AU" w:eastAsia="ja-JP"/>
        </w:rPr>
      </w:pPr>
    </w:p>
    <w:p w:rsidR="003606D5" w:rsidRDefault="003606D5" w:rsidP="004E3EE2">
      <w:pPr>
        <w:spacing w:after="0" w:line="240" w:lineRule="auto"/>
        <w:rPr>
          <w:rFonts w:ascii="Arial" w:eastAsia="MS ??" w:hAnsi="Arial" w:cs="Times New Roman"/>
          <w:szCs w:val="20"/>
          <w:lang w:val="en-AU" w:eastAsia="ja-JP"/>
        </w:rPr>
      </w:pPr>
    </w:p>
    <w:p w:rsidR="003606D5" w:rsidRDefault="003606D5" w:rsidP="004E3EE2">
      <w:pPr>
        <w:spacing w:after="0" w:line="240" w:lineRule="auto"/>
        <w:rPr>
          <w:rFonts w:ascii="Arial" w:eastAsia="MS ??" w:hAnsi="Arial" w:cs="Times New Roman"/>
          <w:szCs w:val="20"/>
          <w:lang w:val="en-AU" w:eastAsia="ja-JP"/>
        </w:rPr>
      </w:pPr>
    </w:p>
    <w:p w:rsidR="003606D5" w:rsidRDefault="003606D5" w:rsidP="004E3EE2">
      <w:pPr>
        <w:spacing w:after="0" w:line="240" w:lineRule="auto"/>
        <w:rPr>
          <w:rFonts w:ascii="Arial" w:eastAsia="MS ??" w:hAnsi="Arial" w:cs="Times New Roman"/>
          <w:szCs w:val="20"/>
          <w:lang w:val="en-AU" w:eastAsia="ja-JP"/>
        </w:rPr>
      </w:pPr>
    </w:p>
    <w:p w:rsidR="003606D5" w:rsidRDefault="003606D5" w:rsidP="004E3EE2">
      <w:pPr>
        <w:spacing w:after="0" w:line="240" w:lineRule="auto"/>
        <w:rPr>
          <w:rFonts w:ascii="Arial" w:eastAsia="MS ??" w:hAnsi="Arial" w:cs="Times New Roman"/>
          <w:szCs w:val="20"/>
          <w:lang w:val="en-AU" w:eastAsia="ja-JP"/>
        </w:rPr>
      </w:pPr>
    </w:p>
    <w:p w:rsidR="003606D5" w:rsidRDefault="003606D5" w:rsidP="004E3EE2">
      <w:pPr>
        <w:spacing w:after="0" w:line="240" w:lineRule="auto"/>
        <w:rPr>
          <w:rFonts w:ascii="Arial" w:eastAsia="MS ??" w:hAnsi="Arial" w:cs="Times New Roman"/>
          <w:szCs w:val="20"/>
          <w:lang w:val="en-AU" w:eastAsia="ja-JP"/>
        </w:rPr>
      </w:pPr>
    </w:p>
    <w:p w:rsidR="003606D5" w:rsidRDefault="003606D5" w:rsidP="004E3EE2">
      <w:pPr>
        <w:spacing w:after="0" w:line="240" w:lineRule="auto"/>
        <w:rPr>
          <w:rFonts w:ascii="Arial" w:eastAsia="MS ??" w:hAnsi="Arial" w:cs="Times New Roman"/>
          <w:szCs w:val="20"/>
          <w:lang w:val="en-AU" w:eastAsia="ja-JP"/>
        </w:rPr>
      </w:pPr>
    </w:p>
    <w:p w:rsidR="003606D5" w:rsidRPr="004E3EE2" w:rsidRDefault="003606D5" w:rsidP="004E3EE2">
      <w:pPr>
        <w:spacing w:after="0" w:line="240" w:lineRule="auto"/>
        <w:rPr>
          <w:rFonts w:ascii="Arial" w:eastAsia="MS ??" w:hAnsi="Arial" w:cs="Times New Roman"/>
          <w:szCs w:val="20"/>
          <w:lang w:val="en-AU" w:eastAsia="ja-JP"/>
        </w:rPr>
      </w:pPr>
    </w:p>
    <w:p w:rsidR="004E3EE2" w:rsidRPr="004E3EE2" w:rsidRDefault="004E3EE2" w:rsidP="004E3EE2">
      <w:pPr>
        <w:numPr>
          <w:ilvl w:val="0"/>
          <w:numId w:val="33"/>
        </w:numPr>
        <w:spacing w:after="0" w:line="240" w:lineRule="auto"/>
        <w:contextualSpacing/>
        <w:jc w:val="both"/>
        <w:rPr>
          <w:rFonts w:ascii="Arial" w:eastAsia="MS ??" w:hAnsi="Arial" w:cs="Times New Roman"/>
          <w:i/>
          <w:szCs w:val="20"/>
          <w:lang w:val="en-AU" w:eastAsia="ja-JP"/>
        </w:rPr>
      </w:pPr>
      <w:r w:rsidRPr="004E3EE2">
        <w:rPr>
          <w:rFonts w:ascii="Arial" w:eastAsia="MS ??" w:hAnsi="Arial" w:cs="Times New Roman"/>
          <w:i/>
          <w:szCs w:val="20"/>
          <w:lang w:val="en-AU" w:eastAsia="ja-JP"/>
        </w:rPr>
        <w:t>Assumptions on Audit Cost savings</w:t>
      </w:r>
    </w:p>
    <w:p w:rsidR="004E3EE2" w:rsidRPr="004E3EE2" w:rsidRDefault="004E3EE2" w:rsidP="004E3EE2">
      <w:pPr>
        <w:spacing w:after="0" w:line="240" w:lineRule="auto"/>
        <w:rPr>
          <w:rFonts w:ascii="Arial" w:eastAsia="MS ??" w:hAnsi="Arial" w:cs="Times New Roman"/>
          <w:szCs w:val="20"/>
          <w:lang w:val="en-AU" w:eastAsia="ja-JP"/>
        </w:rPr>
      </w:pPr>
    </w:p>
    <w:p w:rsidR="004E3EE2" w:rsidRPr="003606D5" w:rsidRDefault="003606D5" w:rsidP="004E3EE2">
      <w:pPr>
        <w:spacing w:after="0" w:line="240" w:lineRule="auto"/>
        <w:rPr>
          <w:rFonts w:ascii="Arial" w:eastAsia="MS ??" w:hAnsi="Arial" w:cs="Times New Roman"/>
          <w:i/>
          <w:szCs w:val="20"/>
          <w:lang w:val="en-AU" w:eastAsia="ja-JP"/>
        </w:rPr>
      </w:pPr>
      <w:r w:rsidRPr="003606D5">
        <w:rPr>
          <w:rFonts w:ascii="Arial" w:eastAsia="MS ??" w:hAnsi="Arial" w:cs="Times New Roman"/>
          <w:i/>
          <w:szCs w:val="20"/>
          <w:lang w:val="en-AU" w:eastAsia="ja-JP"/>
        </w:rPr>
        <w:t xml:space="preserve">Table 21   Option 4    Expected </w:t>
      </w:r>
      <w:r w:rsidR="004E3EE2" w:rsidRPr="004E3EE2">
        <w:rPr>
          <w:rFonts w:ascii="Arial" w:eastAsia="MS ??" w:hAnsi="Arial" w:cs="Times New Roman"/>
          <w:i/>
          <w:szCs w:val="20"/>
          <w:lang w:val="en-AU" w:eastAsia="ja-JP"/>
        </w:rPr>
        <w:t>Savings on audit costs</w:t>
      </w:r>
    </w:p>
    <w:p w:rsidR="0094335C" w:rsidRDefault="0094335C" w:rsidP="004E3EE2">
      <w:pPr>
        <w:spacing w:after="0" w:line="240" w:lineRule="auto"/>
        <w:rPr>
          <w:rFonts w:ascii="Arial" w:eastAsia="MS ??" w:hAnsi="Arial" w:cs="Times New Roman"/>
          <w:szCs w:val="20"/>
          <w:lang w:val="en-AU" w:eastAsia="ja-JP"/>
        </w:rPr>
      </w:pPr>
    </w:p>
    <w:p w:rsidR="0094335C" w:rsidRPr="004E3EE2" w:rsidRDefault="0094335C" w:rsidP="004E3EE2">
      <w:pPr>
        <w:spacing w:after="0" w:line="240" w:lineRule="auto"/>
        <w:rPr>
          <w:rFonts w:ascii="Arial" w:eastAsia="MS ??" w:hAnsi="Arial" w:cs="Times New Roman"/>
          <w:szCs w:val="20"/>
          <w:lang w:val="en-AU" w:eastAsia="ja-JP"/>
        </w:rPr>
      </w:pPr>
      <w:r w:rsidRPr="0094335C">
        <w:rPr>
          <w:noProof/>
          <w:lang w:eastAsia="en-NZ"/>
        </w:rPr>
        <w:drawing>
          <wp:inline distT="0" distB="0" distL="0" distR="0" wp14:anchorId="53EC9118" wp14:editId="358716A4">
            <wp:extent cx="5806440" cy="1653540"/>
            <wp:effectExtent l="0" t="0" r="381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06440" cy="1653540"/>
                    </a:xfrm>
                    <a:prstGeom prst="rect">
                      <a:avLst/>
                    </a:prstGeom>
                    <a:noFill/>
                    <a:ln>
                      <a:noFill/>
                    </a:ln>
                  </pic:spPr>
                </pic:pic>
              </a:graphicData>
            </a:graphic>
          </wp:inline>
        </w:drawing>
      </w:r>
    </w:p>
    <w:p w:rsidR="004E3EE2" w:rsidRPr="004E3EE2" w:rsidRDefault="004E3EE2" w:rsidP="004E3EE2">
      <w:pPr>
        <w:spacing w:after="0" w:line="240" w:lineRule="auto"/>
        <w:rPr>
          <w:rFonts w:ascii="Arial" w:eastAsia="MS ??" w:hAnsi="Arial" w:cs="Times New Roman"/>
          <w:szCs w:val="20"/>
          <w:lang w:val="en-AU" w:eastAsia="ja-JP"/>
        </w:rPr>
      </w:pPr>
    </w:p>
    <w:p w:rsidR="0094335C" w:rsidRDefault="0094335C" w:rsidP="004E3EE2">
      <w:pPr>
        <w:spacing w:after="0" w:line="240" w:lineRule="auto"/>
        <w:rPr>
          <w:rFonts w:ascii="Arial" w:eastAsia="MS ??" w:hAnsi="Arial" w:cs="Times New Roman"/>
          <w:noProof/>
          <w:szCs w:val="20"/>
          <w:lang w:eastAsia="en-NZ"/>
        </w:rPr>
      </w:pPr>
      <w:r>
        <w:rPr>
          <w:rFonts w:ascii="Arial" w:eastAsia="MS ??" w:hAnsi="Arial" w:cs="Times New Roman"/>
          <w:noProof/>
          <w:szCs w:val="20"/>
          <w:lang w:eastAsia="en-NZ"/>
        </w:rPr>
        <w:t xml:space="preserve"> Notes</w:t>
      </w:r>
    </w:p>
    <w:p w:rsidR="0094335C" w:rsidRDefault="0094335C" w:rsidP="004E3EE2">
      <w:pPr>
        <w:spacing w:after="0" w:line="240" w:lineRule="auto"/>
        <w:rPr>
          <w:rFonts w:ascii="Arial" w:eastAsia="MS ??" w:hAnsi="Arial" w:cs="Times New Roman"/>
          <w:noProof/>
          <w:szCs w:val="20"/>
          <w:lang w:eastAsia="en-NZ"/>
        </w:rPr>
      </w:pPr>
    </w:p>
    <w:p w:rsidR="0094335C" w:rsidRDefault="0094335C" w:rsidP="0094335C">
      <w:pPr>
        <w:pStyle w:val="ListParagraph"/>
        <w:numPr>
          <w:ilvl w:val="0"/>
          <w:numId w:val="36"/>
        </w:numPr>
        <w:rPr>
          <w:noProof/>
          <w:lang w:eastAsia="en-NZ"/>
        </w:rPr>
      </w:pPr>
      <w:r>
        <w:rPr>
          <w:noProof/>
          <w:lang w:eastAsia="en-NZ"/>
        </w:rPr>
        <w:t>The above table reflects there will be one annual audit rather the ptesent nine</w:t>
      </w:r>
    </w:p>
    <w:p w:rsidR="0094335C" w:rsidRPr="0094335C" w:rsidRDefault="0094335C" w:rsidP="0094335C">
      <w:pPr>
        <w:pStyle w:val="ListParagraph"/>
        <w:numPr>
          <w:ilvl w:val="0"/>
          <w:numId w:val="36"/>
        </w:numPr>
        <w:rPr>
          <w:noProof/>
          <w:lang w:eastAsia="en-NZ"/>
        </w:rPr>
      </w:pPr>
      <w:r>
        <w:rPr>
          <w:noProof/>
          <w:lang w:eastAsia="en-NZ"/>
        </w:rPr>
        <w:t>The cost of LTP audits have been annualised as they are prepared and audited every three years</w:t>
      </w:r>
    </w:p>
    <w:p w:rsidR="004E3EE2" w:rsidRPr="004E3EE2" w:rsidRDefault="004E3EE2" w:rsidP="004E3EE2">
      <w:pPr>
        <w:spacing w:after="0" w:line="240" w:lineRule="auto"/>
        <w:rPr>
          <w:rFonts w:ascii="Arial" w:eastAsia="MS ??" w:hAnsi="Arial" w:cs="Times New Roman"/>
          <w:b/>
          <w:szCs w:val="20"/>
          <w:lang w:val="en-AU" w:eastAsia="ja-JP"/>
        </w:rPr>
      </w:pPr>
    </w:p>
    <w:p w:rsidR="004E3EE2" w:rsidRPr="004E3EE2" w:rsidRDefault="004E3EE2" w:rsidP="004E3EE2">
      <w:pPr>
        <w:spacing w:after="0" w:line="240" w:lineRule="auto"/>
        <w:rPr>
          <w:rFonts w:ascii="Arial" w:eastAsia="MS ??" w:hAnsi="Arial" w:cs="Times New Roman"/>
          <w:b/>
          <w:szCs w:val="20"/>
          <w:lang w:val="en-AU" w:eastAsia="ja-JP"/>
        </w:rPr>
      </w:pPr>
    </w:p>
    <w:p w:rsidR="004E3EE2" w:rsidRDefault="0094335C" w:rsidP="004E3EE2">
      <w:pPr>
        <w:spacing w:after="0" w:line="240" w:lineRule="auto"/>
        <w:rPr>
          <w:rFonts w:ascii="Arial" w:eastAsia="MS ??" w:hAnsi="Arial" w:cs="Times New Roman"/>
          <w:b/>
          <w:szCs w:val="20"/>
          <w:lang w:val="en-AU" w:eastAsia="ja-JP"/>
        </w:rPr>
      </w:pPr>
      <w:r>
        <w:rPr>
          <w:rFonts w:ascii="Arial" w:eastAsia="MS ??" w:hAnsi="Arial" w:cs="Times New Roman"/>
          <w:b/>
          <w:szCs w:val="20"/>
          <w:lang w:val="en-AU" w:eastAsia="ja-JP"/>
        </w:rPr>
        <w:t>Option 4    Summary of potential cost savings</w:t>
      </w:r>
    </w:p>
    <w:p w:rsidR="003606D5" w:rsidRDefault="003606D5" w:rsidP="004E3EE2">
      <w:pPr>
        <w:spacing w:after="0" w:line="240" w:lineRule="auto"/>
        <w:rPr>
          <w:rFonts w:ascii="Arial" w:eastAsia="MS ??" w:hAnsi="Arial" w:cs="Times New Roman"/>
          <w:b/>
          <w:szCs w:val="20"/>
          <w:lang w:val="en-AU" w:eastAsia="ja-JP"/>
        </w:rPr>
      </w:pPr>
    </w:p>
    <w:p w:rsidR="003606D5" w:rsidRPr="004E3EE2" w:rsidRDefault="003606D5" w:rsidP="004E3EE2">
      <w:pPr>
        <w:spacing w:after="0" w:line="240" w:lineRule="auto"/>
        <w:rPr>
          <w:rFonts w:ascii="Arial" w:eastAsia="MS ??" w:hAnsi="Arial" w:cs="Times New Roman"/>
          <w:i/>
          <w:szCs w:val="20"/>
          <w:lang w:val="en-AU" w:eastAsia="ja-JP"/>
        </w:rPr>
      </w:pPr>
      <w:r w:rsidRPr="00C30BB9">
        <w:rPr>
          <w:rFonts w:ascii="Arial" w:eastAsia="MS ??" w:hAnsi="Arial" w:cs="Times New Roman"/>
          <w:i/>
          <w:szCs w:val="20"/>
          <w:lang w:val="en-AU" w:eastAsia="ja-JP"/>
        </w:rPr>
        <w:t xml:space="preserve">Table 22   Option 4   </w:t>
      </w:r>
      <w:r w:rsidR="00C30BB9" w:rsidRPr="00C30BB9">
        <w:rPr>
          <w:rFonts w:ascii="Arial" w:eastAsia="MS ??" w:hAnsi="Arial" w:cs="Times New Roman"/>
          <w:i/>
          <w:szCs w:val="20"/>
          <w:lang w:val="en-AU" w:eastAsia="ja-JP"/>
        </w:rPr>
        <w:t>Summary of Potential Savings (no local boards)</w:t>
      </w:r>
    </w:p>
    <w:p w:rsidR="004E3EE2" w:rsidRPr="004E3EE2" w:rsidRDefault="004E3EE2" w:rsidP="004E3EE2">
      <w:pPr>
        <w:spacing w:after="0" w:line="240" w:lineRule="auto"/>
        <w:rPr>
          <w:rFonts w:ascii="Arial" w:eastAsia="MS ??" w:hAnsi="Arial" w:cs="Times New Roman"/>
          <w:b/>
          <w:szCs w:val="20"/>
          <w:lang w:val="en-AU" w:eastAsia="ja-JP"/>
        </w:rPr>
      </w:pPr>
    </w:p>
    <w:p w:rsidR="004E3EE2" w:rsidRDefault="0094335C" w:rsidP="004E3EE2">
      <w:pPr>
        <w:spacing w:after="0" w:line="240" w:lineRule="auto"/>
        <w:rPr>
          <w:rFonts w:ascii="Arial" w:eastAsia="MS ??" w:hAnsi="Arial" w:cs="Times New Roman"/>
          <w:b/>
          <w:szCs w:val="20"/>
          <w:lang w:val="en-AU" w:eastAsia="ja-JP"/>
        </w:rPr>
      </w:pPr>
      <w:r w:rsidRPr="0094335C">
        <w:rPr>
          <w:noProof/>
          <w:lang w:eastAsia="en-NZ"/>
        </w:rPr>
        <w:drawing>
          <wp:inline distT="0" distB="0" distL="0" distR="0" wp14:anchorId="4C799C9E" wp14:editId="707A38EE">
            <wp:extent cx="5600700" cy="2202180"/>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00700" cy="2202180"/>
                    </a:xfrm>
                    <a:prstGeom prst="rect">
                      <a:avLst/>
                    </a:prstGeom>
                    <a:noFill/>
                    <a:ln>
                      <a:noFill/>
                    </a:ln>
                  </pic:spPr>
                </pic:pic>
              </a:graphicData>
            </a:graphic>
          </wp:inline>
        </w:drawing>
      </w:r>
    </w:p>
    <w:p w:rsidR="00C30BB9" w:rsidRPr="004E3EE2" w:rsidRDefault="00C30BB9" w:rsidP="004E3EE2">
      <w:pPr>
        <w:spacing w:after="0" w:line="240" w:lineRule="auto"/>
        <w:rPr>
          <w:rFonts w:ascii="Arial" w:eastAsia="MS ??" w:hAnsi="Arial" w:cs="Times New Roman"/>
          <w:b/>
          <w:szCs w:val="20"/>
          <w:lang w:val="en-AU" w:eastAsia="ja-JP"/>
        </w:rPr>
      </w:pPr>
    </w:p>
    <w:p w:rsidR="004E3EE2" w:rsidRPr="004E3EE2" w:rsidRDefault="00C30BB9" w:rsidP="004E3EE2">
      <w:pPr>
        <w:spacing w:after="0" w:line="240" w:lineRule="auto"/>
        <w:rPr>
          <w:rFonts w:ascii="Arial" w:eastAsia="MS ??" w:hAnsi="Arial" w:cs="Times New Roman"/>
          <w:szCs w:val="20"/>
          <w:lang w:val="en-AU" w:eastAsia="ja-JP"/>
        </w:rPr>
      </w:pPr>
      <w:r w:rsidRPr="00C30BB9">
        <w:rPr>
          <w:rFonts w:ascii="Arial" w:eastAsia="MS ??" w:hAnsi="Arial" w:cs="Times New Roman"/>
          <w:i/>
          <w:szCs w:val="20"/>
          <w:lang w:val="en-AU" w:eastAsia="ja-JP"/>
        </w:rPr>
        <w:t xml:space="preserve"> Table 23   Option 4   </w:t>
      </w:r>
      <w:r>
        <w:rPr>
          <w:rFonts w:ascii="Arial" w:eastAsia="MS ??" w:hAnsi="Arial" w:cs="Times New Roman"/>
          <w:i/>
          <w:szCs w:val="20"/>
          <w:lang w:val="en-AU" w:eastAsia="ja-JP"/>
        </w:rPr>
        <w:t>Summary of Potential Savings (with</w:t>
      </w:r>
      <w:r w:rsidRPr="00C30BB9">
        <w:rPr>
          <w:rFonts w:ascii="Arial" w:eastAsia="MS ??" w:hAnsi="Arial" w:cs="Times New Roman"/>
          <w:i/>
          <w:szCs w:val="20"/>
          <w:lang w:val="en-AU" w:eastAsia="ja-JP"/>
        </w:rPr>
        <w:t xml:space="preserve"> local boards)</w:t>
      </w:r>
    </w:p>
    <w:p w:rsidR="004E3EE2" w:rsidRPr="004E3EE2" w:rsidRDefault="008C4A1E" w:rsidP="004E3EE2">
      <w:pPr>
        <w:spacing w:after="0" w:line="240" w:lineRule="auto"/>
        <w:rPr>
          <w:rFonts w:ascii="Arial" w:eastAsia="MS ??" w:hAnsi="Arial" w:cs="Times New Roman"/>
          <w:szCs w:val="20"/>
          <w:lang w:val="en-AU" w:eastAsia="ja-JP"/>
        </w:rPr>
      </w:pPr>
      <w:r w:rsidRPr="008C4A1E">
        <w:rPr>
          <w:noProof/>
          <w:lang w:eastAsia="en-NZ"/>
        </w:rPr>
        <w:drawing>
          <wp:inline distT="0" distB="0" distL="0" distR="0">
            <wp:extent cx="5615940" cy="2385060"/>
            <wp:effectExtent l="0" t="0" r="381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5940" cy="2385060"/>
                    </a:xfrm>
                    <a:prstGeom prst="rect">
                      <a:avLst/>
                    </a:prstGeom>
                    <a:noFill/>
                    <a:ln>
                      <a:noFill/>
                    </a:ln>
                  </pic:spPr>
                </pic:pic>
              </a:graphicData>
            </a:graphic>
          </wp:inline>
        </w:drawing>
      </w:r>
    </w:p>
    <w:p w:rsidR="00C30BB9" w:rsidRDefault="00C30BB9" w:rsidP="004E3EE2">
      <w:pPr>
        <w:spacing w:after="0" w:line="240" w:lineRule="auto"/>
        <w:rPr>
          <w:rFonts w:ascii="Arial" w:eastAsia="MS ??" w:hAnsi="Arial" w:cs="Times New Roman"/>
          <w:szCs w:val="20"/>
          <w:lang w:val="en-AU" w:eastAsia="ja-JP"/>
        </w:rPr>
      </w:pPr>
    </w:p>
    <w:p w:rsidR="00C30BB9" w:rsidRDefault="00C30BB9" w:rsidP="004E3EE2">
      <w:pPr>
        <w:spacing w:after="0" w:line="240" w:lineRule="auto"/>
        <w:rPr>
          <w:rFonts w:ascii="Arial" w:eastAsia="MS ??" w:hAnsi="Arial" w:cs="Times New Roman"/>
          <w:szCs w:val="20"/>
          <w:lang w:val="en-AU" w:eastAsia="ja-JP"/>
        </w:rPr>
      </w:pPr>
    </w:p>
    <w:p w:rsidR="004E3EE2" w:rsidRPr="004E3EE2" w:rsidRDefault="004E3EE2" w:rsidP="004E3EE2">
      <w:pPr>
        <w:spacing w:after="0" w:line="240" w:lineRule="auto"/>
        <w:rPr>
          <w:rFonts w:ascii="Arial" w:eastAsia="MS ??" w:hAnsi="Arial" w:cs="Times New Roman"/>
          <w:szCs w:val="20"/>
          <w:lang w:val="en-AU" w:eastAsia="ja-JP"/>
        </w:rPr>
      </w:pPr>
      <w:r w:rsidRPr="004E3EE2">
        <w:rPr>
          <w:rFonts w:ascii="Arial" w:eastAsia="MS ??" w:hAnsi="Arial" w:cs="Times New Roman"/>
          <w:szCs w:val="20"/>
          <w:lang w:val="en-AU" w:eastAsia="ja-JP"/>
        </w:rPr>
        <w:t>This option assumes there will be eight local boards in addition to the elected council.</w:t>
      </w:r>
    </w:p>
    <w:p w:rsidR="004E3EE2" w:rsidRPr="004E3EE2" w:rsidRDefault="004E3EE2" w:rsidP="004E3EE2">
      <w:pPr>
        <w:spacing w:after="0" w:line="240" w:lineRule="auto"/>
        <w:rPr>
          <w:rFonts w:ascii="Arial" w:eastAsia="MS ??" w:hAnsi="Arial" w:cs="Times New Roman"/>
          <w:szCs w:val="20"/>
          <w:lang w:val="en-AU" w:eastAsia="ja-JP"/>
        </w:rPr>
      </w:pPr>
    </w:p>
    <w:p w:rsidR="004E3EE2" w:rsidRPr="004E3EE2" w:rsidRDefault="004E3EE2" w:rsidP="004E3EE2">
      <w:pPr>
        <w:spacing w:after="0" w:line="240" w:lineRule="auto"/>
        <w:rPr>
          <w:rFonts w:ascii="Arial" w:eastAsia="MS ??" w:hAnsi="Arial" w:cs="Times New Roman"/>
          <w:szCs w:val="20"/>
          <w:lang w:val="en-AU" w:eastAsia="ja-JP"/>
        </w:rPr>
      </w:pPr>
      <w:r w:rsidRPr="004E3EE2">
        <w:rPr>
          <w:rFonts w:ascii="Arial" w:eastAsia="MS ??" w:hAnsi="Arial" w:cs="Times New Roman"/>
          <w:szCs w:val="20"/>
          <w:lang w:val="en-AU" w:eastAsia="ja-JP"/>
        </w:rPr>
        <w:t>The estimate of the yearly cost of the local boards is taken from the paper dated 1 August 2014 prepared by the Commission CEO that an indicative cost range was $10-$12 million. This analysis has used the $10</w:t>
      </w:r>
      <w:r w:rsidR="00102944">
        <w:rPr>
          <w:rFonts w:ascii="Arial" w:eastAsia="MS ??" w:hAnsi="Arial" w:cs="Times New Roman"/>
          <w:szCs w:val="20"/>
          <w:lang w:val="en-AU" w:eastAsia="ja-JP"/>
        </w:rPr>
        <w:t xml:space="preserve"> </w:t>
      </w:r>
      <w:r w:rsidRPr="004E3EE2">
        <w:rPr>
          <w:rFonts w:ascii="Arial" w:eastAsia="MS ??" w:hAnsi="Arial" w:cs="Times New Roman"/>
          <w:szCs w:val="20"/>
          <w:lang w:val="en-AU" w:eastAsia="ja-JP"/>
        </w:rPr>
        <w:t>million figure. Year 1 costs are $6.7m as this is likely to be an eight month transition period.</w:t>
      </w:r>
    </w:p>
    <w:p w:rsidR="008C4A1E" w:rsidRDefault="008C4A1E" w:rsidP="008045E6">
      <w:pPr>
        <w:pStyle w:val="NoSpacing"/>
        <w:rPr>
          <w:rFonts w:ascii="Arial" w:hAnsi="Arial" w:cs="Arial"/>
        </w:rPr>
      </w:pPr>
    </w:p>
    <w:p w:rsidR="008C4A1E" w:rsidRDefault="008C4A1E" w:rsidP="008045E6">
      <w:pPr>
        <w:pStyle w:val="NoSpacing"/>
        <w:rPr>
          <w:rFonts w:ascii="Arial" w:hAnsi="Arial" w:cs="Arial"/>
        </w:rPr>
      </w:pPr>
    </w:p>
    <w:p w:rsidR="00E21B52" w:rsidRPr="00C30BB9" w:rsidRDefault="008C4A1E" w:rsidP="008045E6">
      <w:pPr>
        <w:pStyle w:val="NoSpacing"/>
        <w:rPr>
          <w:rFonts w:ascii="Arial" w:hAnsi="Arial" w:cs="Arial"/>
          <w:b/>
        </w:rPr>
      </w:pPr>
      <w:r w:rsidRPr="00C30BB9">
        <w:rPr>
          <w:rFonts w:ascii="Arial" w:hAnsi="Arial" w:cs="Arial"/>
        </w:rPr>
        <w:t xml:space="preserve"> </w:t>
      </w:r>
      <w:r w:rsidRPr="00C30BB9">
        <w:rPr>
          <w:rFonts w:ascii="Arial" w:hAnsi="Arial" w:cs="Arial"/>
          <w:b/>
        </w:rPr>
        <w:t>Option 4    Commentary on Potential Savings</w:t>
      </w:r>
    </w:p>
    <w:p w:rsidR="008C4A1E" w:rsidRDefault="008C4A1E" w:rsidP="008045E6">
      <w:pPr>
        <w:pStyle w:val="NoSpacing"/>
        <w:rPr>
          <w:rFonts w:ascii="Arial" w:hAnsi="Arial" w:cs="Arial"/>
          <w:b/>
        </w:rPr>
      </w:pPr>
    </w:p>
    <w:p w:rsidR="008C4A1E" w:rsidRDefault="008C4A1E" w:rsidP="008C4A1E">
      <w:pPr>
        <w:pStyle w:val="NoSpacing"/>
        <w:numPr>
          <w:ilvl w:val="0"/>
          <w:numId w:val="37"/>
        </w:numPr>
        <w:rPr>
          <w:rFonts w:ascii="Arial" w:hAnsi="Arial" w:cs="Arial"/>
        </w:rPr>
      </w:pPr>
      <w:r>
        <w:rPr>
          <w:rFonts w:ascii="Arial" w:hAnsi="Arial" w:cs="Arial"/>
        </w:rPr>
        <w:t xml:space="preserve">The major proportion of the potential annual savings is from rationalisation of corporate support costs. These total $22.7 million </w:t>
      </w:r>
      <w:r w:rsidR="00102944">
        <w:rPr>
          <w:rFonts w:ascii="Arial" w:hAnsi="Arial" w:cs="Arial"/>
        </w:rPr>
        <w:t>or about 56% of the total (based on no local boards). These savings will be reduced if it is proposed to have local boards as the servicing of the boards will incur costs.</w:t>
      </w:r>
    </w:p>
    <w:p w:rsidR="00102944" w:rsidRDefault="00102944" w:rsidP="008C4A1E">
      <w:pPr>
        <w:pStyle w:val="NoSpacing"/>
        <w:numPr>
          <w:ilvl w:val="0"/>
          <w:numId w:val="37"/>
        </w:numPr>
        <w:rPr>
          <w:rFonts w:ascii="Arial" w:hAnsi="Arial" w:cs="Arial"/>
        </w:rPr>
      </w:pPr>
      <w:r>
        <w:rPr>
          <w:rFonts w:ascii="Arial" w:hAnsi="Arial" w:cs="Arial"/>
        </w:rPr>
        <w:t>Savings from council activities opex and capex is expected to be around $12 million annually</w:t>
      </w:r>
    </w:p>
    <w:p w:rsidR="00102944" w:rsidRPr="008C4A1E" w:rsidRDefault="00102944" w:rsidP="008C4A1E">
      <w:pPr>
        <w:pStyle w:val="NoSpacing"/>
        <w:numPr>
          <w:ilvl w:val="0"/>
          <w:numId w:val="37"/>
        </w:numPr>
        <w:rPr>
          <w:rFonts w:ascii="Arial" w:hAnsi="Arial" w:cs="Arial"/>
        </w:rPr>
      </w:pPr>
      <w:r>
        <w:rPr>
          <w:rFonts w:ascii="Arial" w:hAnsi="Arial" w:cs="Arial"/>
        </w:rPr>
        <w:t>Governance and audit costs annual savings is expected to be just under $6 million.</w:t>
      </w:r>
    </w:p>
    <w:p w:rsidR="008C4A1E" w:rsidRDefault="008C4A1E" w:rsidP="008045E6">
      <w:pPr>
        <w:pStyle w:val="NoSpacing"/>
        <w:rPr>
          <w:rFonts w:ascii="Arial" w:hAnsi="Arial" w:cs="Arial"/>
          <w:b/>
        </w:rPr>
      </w:pPr>
    </w:p>
    <w:p w:rsidR="008C4A1E" w:rsidRPr="008C4A1E" w:rsidRDefault="008C4A1E" w:rsidP="008045E6">
      <w:pPr>
        <w:pStyle w:val="NoSpacing"/>
        <w:rPr>
          <w:rFonts w:ascii="Arial" w:hAnsi="Arial" w:cs="Arial"/>
          <w:b/>
        </w:rPr>
      </w:pPr>
    </w:p>
    <w:sectPr w:rsidR="008C4A1E" w:rsidRPr="008C4A1E" w:rsidSect="00D35E14">
      <w:footerReference w:type="default" r:id="rId2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8B4" w:rsidRDefault="006E08B4" w:rsidP="00363282">
      <w:pPr>
        <w:spacing w:after="0" w:line="240" w:lineRule="auto"/>
      </w:pPr>
      <w:r>
        <w:separator/>
      </w:r>
    </w:p>
  </w:endnote>
  <w:endnote w:type="continuationSeparator" w:id="0">
    <w:p w:rsidR="006E08B4" w:rsidRDefault="006E08B4" w:rsidP="00363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22E" w:rsidRPr="0065222E" w:rsidRDefault="0065222E">
    <w:pPr>
      <w:pStyle w:val="Footer"/>
      <w:pBdr>
        <w:top w:val="thinThickSmallGap" w:sz="24" w:space="1" w:color="823B0B" w:themeColor="accent2" w:themeShade="7F"/>
      </w:pBdr>
      <w:rPr>
        <w:rFonts w:ascii="Arial" w:hAnsi="Arial" w:cs="Arial"/>
      </w:rPr>
    </w:pPr>
    <w:r w:rsidRPr="0065222E">
      <w:rPr>
        <w:rFonts w:ascii="Arial" w:hAnsi="Arial" w:cs="Arial"/>
      </w:rPr>
      <w:t>Report on potential savings on options for Wellington local government reorganisation</w:t>
    </w:r>
    <w:r w:rsidRPr="0065222E">
      <w:rPr>
        <w:rFonts w:ascii="Arial" w:hAnsi="Arial" w:cs="Arial"/>
      </w:rPr>
      <w:ptab w:relativeTo="margin" w:alignment="right" w:leader="none"/>
    </w:r>
    <w:r w:rsidRPr="0065222E">
      <w:rPr>
        <w:rFonts w:ascii="Arial" w:hAnsi="Arial" w:cs="Arial"/>
      </w:rPr>
      <w:t xml:space="preserve">Page </w:t>
    </w:r>
    <w:r w:rsidRPr="0065222E">
      <w:rPr>
        <w:rFonts w:ascii="Arial" w:hAnsi="Arial" w:cs="Arial"/>
      </w:rPr>
      <w:fldChar w:fldCharType="begin"/>
    </w:r>
    <w:r w:rsidRPr="0065222E">
      <w:rPr>
        <w:rFonts w:ascii="Arial" w:hAnsi="Arial" w:cs="Arial"/>
      </w:rPr>
      <w:instrText xml:space="preserve"> PAGE   \* MERGEFORMAT </w:instrText>
    </w:r>
    <w:r w:rsidRPr="0065222E">
      <w:rPr>
        <w:rFonts w:ascii="Arial" w:hAnsi="Arial" w:cs="Arial"/>
      </w:rPr>
      <w:fldChar w:fldCharType="separate"/>
    </w:r>
    <w:r w:rsidR="0057479E">
      <w:rPr>
        <w:rFonts w:ascii="Arial" w:hAnsi="Arial" w:cs="Arial"/>
        <w:noProof/>
      </w:rPr>
      <w:t>5</w:t>
    </w:r>
    <w:r w:rsidRPr="0065222E">
      <w:rPr>
        <w:rFonts w:ascii="Arial" w:hAnsi="Arial" w:cs="Arial"/>
        <w:noProof/>
      </w:rPr>
      <w:fldChar w:fldCharType="end"/>
    </w:r>
  </w:p>
  <w:p w:rsidR="0065222E" w:rsidRPr="0065222E" w:rsidRDefault="0065222E">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8B4" w:rsidRDefault="006E08B4" w:rsidP="00363282">
      <w:pPr>
        <w:spacing w:after="0" w:line="240" w:lineRule="auto"/>
      </w:pPr>
      <w:r>
        <w:separator/>
      </w:r>
    </w:p>
  </w:footnote>
  <w:footnote w:type="continuationSeparator" w:id="0">
    <w:p w:rsidR="006E08B4" w:rsidRDefault="006E08B4" w:rsidP="00363282">
      <w:pPr>
        <w:spacing w:after="0" w:line="240" w:lineRule="auto"/>
      </w:pPr>
      <w:r>
        <w:continuationSeparator/>
      </w:r>
    </w:p>
  </w:footnote>
  <w:footnote w:id="1">
    <w:p w:rsidR="00E14B0A" w:rsidRPr="00D379AB" w:rsidRDefault="00E14B0A" w:rsidP="00363282">
      <w:pPr>
        <w:pStyle w:val="FootnoteText"/>
        <w:rPr>
          <w:lang w:val="en-US"/>
        </w:rPr>
      </w:pPr>
      <w:r w:rsidRPr="00D379AB">
        <w:rPr>
          <w:rStyle w:val="FootnoteReference"/>
          <w:rFonts w:ascii="Arial" w:hAnsi="Arial" w:cs="Arial"/>
        </w:rPr>
        <w:footnoteRef/>
      </w:r>
      <w:r w:rsidRPr="00D379AB">
        <w:rPr>
          <w:rFonts w:ascii="Arial" w:hAnsi="Arial" w:cs="Arial"/>
          <w:lang w:val="en-US"/>
        </w:rPr>
        <w:t xml:space="preserve"> Community Facilities includes libraries, pools, parks and reserves, recreation centres, toilets, cemeteries</w:t>
      </w:r>
    </w:p>
  </w:footnote>
  <w:footnote w:id="2">
    <w:p w:rsidR="00E14B0A" w:rsidRDefault="00E14B0A">
      <w:pPr>
        <w:pStyle w:val="FootnoteText"/>
      </w:pPr>
      <w:r>
        <w:rPr>
          <w:rStyle w:val="FootnoteReference"/>
        </w:rPr>
        <w:footnoteRef/>
      </w:r>
      <w:r>
        <w:t xml:space="preserve"> Specialist corporate functions include legal, internal audit, performance analysts, monitoring of CCOs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A6B79"/>
    <w:multiLevelType w:val="hybridMultilevel"/>
    <w:tmpl w:val="9884A8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A3E1821"/>
    <w:multiLevelType w:val="hybridMultilevel"/>
    <w:tmpl w:val="9118E2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C775EEF"/>
    <w:multiLevelType w:val="hybridMultilevel"/>
    <w:tmpl w:val="96E696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CBC499F"/>
    <w:multiLevelType w:val="hybridMultilevel"/>
    <w:tmpl w:val="30AA5EC4"/>
    <w:lvl w:ilvl="0" w:tplc="CF600EC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F950BA9"/>
    <w:multiLevelType w:val="hybridMultilevel"/>
    <w:tmpl w:val="2996D8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06B02EA"/>
    <w:multiLevelType w:val="hybridMultilevel"/>
    <w:tmpl w:val="59903C5E"/>
    <w:lvl w:ilvl="0" w:tplc="1409000B">
      <w:start w:val="1"/>
      <w:numFmt w:val="bullet"/>
      <w:lvlText w:val=""/>
      <w:lvlJc w:val="left"/>
      <w:pPr>
        <w:ind w:left="1505" w:hanging="360"/>
      </w:pPr>
      <w:rPr>
        <w:rFonts w:ascii="Wingdings" w:hAnsi="Wingdings" w:hint="default"/>
      </w:rPr>
    </w:lvl>
    <w:lvl w:ilvl="1" w:tplc="14090003" w:tentative="1">
      <w:start w:val="1"/>
      <w:numFmt w:val="bullet"/>
      <w:lvlText w:val="o"/>
      <w:lvlJc w:val="left"/>
      <w:pPr>
        <w:ind w:left="2225" w:hanging="360"/>
      </w:pPr>
      <w:rPr>
        <w:rFonts w:ascii="Courier New" w:hAnsi="Courier New" w:cs="Courier New" w:hint="default"/>
      </w:rPr>
    </w:lvl>
    <w:lvl w:ilvl="2" w:tplc="14090005" w:tentative="1">
      <w:start w:val="1"/>
      <w:numFmt w:val="bullet"/>
      <w:lvlText w:val=""/>
      <w:lvlJc w:val="left"/>
      <w:pPr>
        <w:ind w:left="2945" w:hanging="360"/>
      </w:pPr>
      <w:rPr>
        <w:rFonts w:ascii="Wingdings" w:hAnsi="Wingdings" w:hint="default"/>
      </w:rPr>
    </w:lvl>
    <w:lvl w:ilvl="3" w:tplc="14090001" w:tentative="1">
      <w:start w:val="1"/>
      <w:numFmt w:val="bullet"/>
      <w:lvlText w:val=""/>
      <w:lvlJc w:val="left"/>
      <w:pPr>
        <w:ind w:left="3665" w:hanging="360"/>
      </w:pPr>
      <w:rPr>
        <w:rFonts w:ascii="Symbol" w:hAnsi="Symbol" w:hint="default"/>
      </w:rPr>
    </w:lvl>
    <w:lvl w:ilvl="4" w:tplc="14090003" w:tentative="1">
      <w:start w:val="1"/>
      <w:numFmt w:val="bullet"/>
      <w:lvlText w:val="o"/>
      <w:lvlJc w:val="left"/>
      <w:pPr>
        <w:ind w:left="4385" w:hanging="360"/>
      </w:pPr>
      <w:rPr>
        <w:rFonts w:ascii="Courier New" w:hAnsi="Courier New" w:cs="Courier New" w:hint="default"/>
      </w:rPr>
    </w:lvl>
    <w:lvl w:ilvl="5" w:tplc="14090005" w:tentative="1">
      <w:start w:val="1"/>
      <w:numFmt w:val="bullet"/>
      <w:lvlText w:val=""/>
      <w:lvlJc w:val="left"/>
      <w:pPr>
        <w:ind w:left="5105" w:hanging="360"/>
      </w:pPr>
      <w:rPr>
        <w:rFonts w:ascii="Wingdings" w:hAnsi="Wingdings" w:hint="default"/>
      </w:rPr>
    </w:lvl>
    <w:lvl w:ilvl="6" w:tplc="14090001" w:tentative="1">
      <w:start w:val="1"/>
      <w:numFmt w:val="bullet"/>
      <w:lvlText w:val=""/>
      <w:lvlJc w:val="left"/>
      <w:pPr>
        <w:ind w:left="5825" w:hanging="360"/>
      </w:pPr>
      <w:rPr>
        <w:rFonts w:ascii="Symbol" w:hAnsi="Symbol" w:hint="default"/>
      </w:rPr>
    </w:lvl>
    <w:lvl w:ilvl="7" w:tplc="14090003" w:tentative="1">
      <w:start w:val="1"/>
      <w:numFmt w:val="bullet"/>
      <w:lvlText w:val="o"/>
      <w:lvlJc w:val="left"/>
      <w:pPr>
        <w:ind w:left="6545" w:hanging="360"/>
      </w:pPr>
      <w:rPr>
        <w:rFonts w:ascii="Courier New" w:hAnsi="Courier New" w:cs="Courier New" w:hint="default"/>
      </w:rPr>
    </w:lvl>
    <w:lvl w:ilvl="8" w:tplc="14090005" w:tentative="1">
      <w:start w:val="1"/>
      <w:numFmt w:val="bullet"/>
      <w:lvlText w:val=""/>
      <w:lvlJc w:val="left"/>
      <w:pPr>
        <w:ind w:left="7265" w:hanging="360"/>
      </w:pPr>
      <w:rPr>
        <w:rFonts w:ascii="Wingdings" w:hAnsi="Wingdings" w:hint="default"/>
      </w:rPr>
    </w:lvl>
  </w:abstractNum>
  <w:abstractNum w:abstractNumId="6">
    <w:nsid w:val="12323225"/>
    <w:multiLevelType w:val="hybridMultilevel"/>
    <w:tmpl w:val="D46AA0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2EA52C1"/>
    <w:multiLevelType w:val="hybridMultilevel"/>
    <w:tmpl w:val="91C255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E3D459C"/>
    <w:multiLevelType w:val="hybridMultilevel"/>
    <w:tmpl w:val="7506FE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0AE6CE8"/>
    <w:multiLevelType w:val="hybridMultilevel"/>
    <w:tmpl w:val="C1E88E14"/>
    <w:lvl w:ilvl="0" w:tplc="14090001">
      <w:start w:val="1"/>
      <w:numFmt w:val="bullet"/>
      <w:lvlText w:val=""/>
      <w:lvlJc w:val="left"/>
      <w:pPr>
        <w:ind w:left="785" w:hanging="360"/>
      </w:pPr>
      <w:rPr>
        <w:rFonts w:ascii="Symbol" w:hAnsi="Symbol" w:hint="default"/>
      </w:rPr>
    </w:lvl>
    <w:lvl w:ilvl="1" w:tplc="14090003" w:tentative="1">
      <w:start w:val="1"/>
      <w:numFmt w:val="bullet"/>
      <w:lvlText w:val="o"/>
      <w:lvlJc w:val="left"/>
      <w:pPr>
        <w:ind w:left="1505" w:hanging="360"/>
      </w:pPr>
      <w:rPr>
        <w:rFonts w:ascii="Courier New" w:hAnsi="Courier New" w:cs="Courier New" w:hint="default"/>
      </w:rPr>
    </w:lvl>
    <w:lvl w:ilvl="2" w:tplc="14090005" w:tentative="1">
      <w:start w:val="1"/>
      <w:numFmt w:val="bullet"/>
      <w:lvlText w:val=""/>
      <w:lvlJc w:val="left"/>
      <w:pPr>
        <w:ind w:left="2225" w:hanging="360"/>
      </w:pPr>
      <w:rPr>
        <w:rFonts w:ascii="Wingdings" w:hAnsi="Wingdings" w:hint="default"/>
      </w:rPr>
    </w:lvl>
    <w:lvl w:ilvl="3" w:tplc="14090001" w:tentative="1">
      <w:start w:val="1"/>
      <w:numFmt w:val="bullet"/>
      <w:lvlText w:val=""/>
      <w:lvlJc w:val="left"/>
      <w:pPr>
        <w:ind w:left="2945" w:hanging="360"/>
      </w:pPr>
      <w:rPr>
        <w:rFonts w:ascii="Symbol" w:hAnsi="Symbol" w:hint="default"/>
      </w:rPr>
    </w:lvl>
    <w:lvl w:ilvl="4" w:tplc="14090003" w:tentative="1">
      <w:start w:val="1"/>
      <w:numFmt w:val="bullet"/>
      <w:lvlText w:val="o"/>
      <w:lvlJc w:val="left"/>
      <w:pPr>
        <w:ind w:left="3665" w:hanging="360"/>
      </w:pPr>
      <w:rPr>
        <w:rFonts w:ascii="Courier New" w:hAnsi="Courier New" w:cs="Courier New" w:hint="default"/>
      </w:rPr>
    </w:lvl>
    <w:lvl w:ilvl="5" w:tplc="14090005" w:tentative="1">
      <w:start w:val="1"/>
      <w:numFmt w:val="bullet"/>
      <w:lvlText w:val=""/>
      <w:lvlJc w:val="left"/>
      <w:pPr>
        <w:ind w:left="4385" w:hanging="360"/>
      </w:pPr>
      <w:rPr>
        <w:rFonts w:ascii="Wingdings" w:hAnsi="Wingdings" w:hint="default"/>
      </w:rPr>
    </w:lvl>
    <w:lvl w:ilvl="6" w:tplc="14090001" w:tentative="1">
      <w:start w:val="1"/>
      <w:numFmt w:val="bullet"/>
      <w:lvlText w:val=""/>
      <w:lvlJc w:val="left"/>
      <w:pPr>
        <w:ind w:left="5105" w:hanging="360"/>
      </w:pPr>
      <w:rPr>
        <w:rFonts w:ascii="Symbol" w:hAnsi="Symbol" w:hint="default"/>
      </w:rPr>
    </w:lvl>
    <w:lvl w:ilvl="7" w:tplc="14090003" w:tentative="1">
      <w:start w:val="1"/>
      <w:numFmt w:val="bullet"/>
      <w:lvlText w:val="o"/>
      <w:lvlJc w:val="left"/>
      <w:pPr>
        <w:ind w:left="5825" w:hanging="360"/>
      </w:pPr>
      <w:rPr>
        <w:rFonts w:ascii="Courier New" w:hAnsi="Courier New" w:cs="Courier New" w:hint="default"/>
      </w:rPr>
    </w:lvl>
    <w:lvl w:ilvl="8" w:tplc="14090005" w:tentative="1">
      <w:start w:val="1"/>
      <w:numFmt w:val="bullet"/>
      <w:lvlText w:val=""/>
      <w:lvlJc w:val="left"/>
      <w:pPr>
        <w:ind w:left="6545" w:hanging="360"/>
      </w:pPr>
      <w:rPr>
        <w:rFonts w:ascii="Wingdings" w:hAnsi="Wingdings" w:hint="default"/>
      </w:rPr>
    </w:lvl>
  </w:abstractNum>
  <w:abstractNum w:abstractNumId="10">
    <w:nsid w:val="24A45B27"/>
    <w:multiLevelType w:val="hybridMultilevel"/>
    <w:tmpl w:val="6198A164"/>
    <w:lvl w:ilvl="0" w:tplc="14090001">
      <w:start w:val="1"/>
      <w:numFmt w:val="bullet"/>
      <w:lvlText w:val=""/>
      <w:lvlJc w:val="left"/>
      <w:pPr>
        <w:ind w:left="785" w:hanging="360"/>
      </w:pPr>
      <w:rPr>
        <w:rFonts w:ascii="Symbol" w:hAnsi="Symbol" w:hint="default"/>
      </w:rPr>
    </w:lvl>
    <w:lvl w:ilvl="1" w:tplc="14090003" w:tentative="1">
      <w:start w:val="1"/>
      <w:numFmt w:val="bullet"/>
      <w:lvlText w:val="o"/>
      <w:lvlJc w:val="left"/>
      <w:pPr>
        <w:ind w:left="1505" w:hanging="360"/>
      </w:pPr>
      <w:rPr>
        <w:rFonts w:ascii="Courier New" w:hAnsi="Courier New" w:cs="Courier New" w:hint="default"/>
      </w:rPr>
    </w:lvl>
    <w:lvl w:ilvl="2" w:tplc="14090005" w:tentative="1">
      <w:start w:val="1"/>
      <w:numFmt w:val="bullet"/>
      <w:lvlText w:val=""/>
      <w:lvlJc w:val="left"/>
      <w:pPr>
        <w:ind w:left="2225" w:hanging="360"/>
      </w:pPr>
      <w:rPr>
        <w:rFonts w:ascii="Wingdings" w:hAnsi="Wingdings" w:hint="default"/>
      </w:rPr>
    </w:lvl>
    <w:lvl w:ilvl="3" w:tplc="14090001" w:tentative="1">
      <w:start w:val="1"/>
      <w:numFmt w:val="bullet"/>
      <w:lvlText w:val=""/>
      <w:lvlJc w:val="left"/>
      <w:pPr>
        <w:ind w:left="2945" w:hanging="360"/>
      </w:pPr>
      <w:rPr>
        <w:rFonts w:ascii="Symbol" w:hAnsi="Symbol" w:hint="default"/>
      </w:rPr>
    </w:lvl>
    <w:lvl w:ilvl="4" w:tplc="14090003" w:tentative="1">
      <w:start w:val="1"/>
      <w:numFmt w:val="bullet"/>
      <w:lvlText w:val="o"/>
      <w:lvlJc w:val="left"/>
      <w:pPr>
        <w:ind w:left="3665" w:hanging="360"/>
      </w:pPr>
      <w:rPr>
        <w:rFonts w:ascii="Courier New" w:hAnsi="Courier New" w:cs="Courier New" w:hint="default"/>
      </w:rPr>
    </w:lvl>
    <w:lvl w:ilvl="5" w:tplc="14090005" w:tentative="1">
      <w:start w:val="1"/>
      <w:numFmt w:val="bullet"/>
      <w:lvlText w:val=""/>
      <w:lvlJc w:val="left"/>
      <w:pPr>
        <w:ind w:left="4385" w:hanging="360"/>
      </w:pPr>
      <w:rPr>
        <w:rFonts w:ascii="Wingdings" w:hAnsi="Wingdings" w:hint="default"/>
      </w:rPr>
    </w:lvl>
    <w:lvl w:ilvl="6" w:tplc="14090001" w:tentative="1">
      <w:start w:val="1"/>
      <w:numFmt w:val="bullet"/>
      <w:lvlText w:val=""/>
      <w:lvlJc w:val="left"/>
      <w:pPr>
        <w:ind w:left="5105" w:hanging="360"/>
      </w:pPr>
      <w:rPr>
        <w:rFonts w:ascii="Symbol" w:hAnsi="Symbol" w:hint="default"/>
      </w:rPr>
    </w:lvl>
    <w:lvl w:ilvl="7" w:tplc="14090003" w:tentative="1">
      <w:start w:val="1"/>
      <w:numFmt w:val="bullet"/>
      <w:lvlText w:val="o"/>
      <w:lvlJc w:val="left"/>
      <w:pPr>
        <w:ind w:left="5825" w:hanging="360"/>
      </w:pPr>
      <w:rPr>
        <w:rFonts w:ascii="Courier New" w:hAnsi="Courier New" w:cs="Courier New" w:hint="default"/>
      </w:rPr>
    </w:lvl>
    <w:lvl w:ilvl="8" w:tplc="14090005" w:tentative="1">
      <w:start w:val="1"/>
      <w:numFmt w:val="bullet"/>
      <w:lvlText w:val=""/>
      <w:lvlJc w:val="left"/>
      <w:pPr>
        <w:ind w:left="6545" w:hanging="360"/>
      </w:pPr>
      <w:rPr>
        <w:rFonts w:ascii="Wingdings" w:hAnsi="Wingdings" w:hint="default"/>
      </w:rPr>
    </w:lvl>
  </w:abstractNum>
  <w:abstractNum w:abstractNumId="11">
    <w:nsid w:val="27A82426"/>
    <w:multiLevelType w:val="hybridMultilevel"/>
    <w:tmpl w:val="86B08E94"/>
    <w:lvl w:ilvl="0" w:tplc="1409000B">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323C61F3"/>
    <w:multiLevelType w:val="hybridMultilevel"/>
    <w:tmpl w:val="DB027E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91E7D3B"/>
    <w:multiLevelType w:val="hybridMultilevel"/>
    <w:tmpl w:val="2AC427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1994021"/>
    <w:multiLevelType w:val="hybridMultilevel"/>
    <w:tmpl w:val="E5BC0E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2127A1C"/>
    <w:multiLevelType w:val="hybridMultilevel"/>
    <w:tmpl w:val="BE4011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32700F1"/>
    <w:multiLevelType w:val="hybridMultilevel"/>
    <w:tmpl w:val="B476A95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nsid w:val="489B1D19"/>
    <w:multiLevelType w:val="hybridMultilevel"/>
    <w:tmpl w:val="CBC010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BD16907"/>
    <w:multiLevelType w:val="hybridMultilevel"/>
    <w:tmpl w:val="139226B8"/>
    <w:lvl w:ilvl="0" w:tplc="14090001">
      <w:start w:val="1"/>
      <w:numFmt w:val="bullet"/>
      <w:lvlText w:val=""/>
      <w:lvlJc w:val="left"/>
      <w:pPr>
        <w:ind w:left="785" w:hanging="360"/>
      </w:pPr>
      <w:rPr>
        <w:rFonts w:ascii="Symbol" w:hAnsi="Symbol" w:hint="default"/>
      </w:rPr>
    </w:lvl>
    <w:lvl w:ilvl="1" w:tplc="14090003" w:tentative="1">
      <w:start w:val="1"/>
      <w:numFmt w:val="bullet"/>
      <w:lvlText w:val="o"/>
      <w:lvlJc w:val="left"/>
      <w:pPr>
        <w:ind w:left="1505" w:hanging="360"/>
      </w:pPr>
      <w:rPr>
        <w:rFonts w:ascii="Courier New" w:hAnsi="Courier New" w:cs="Courier New" w:hint="default"/>
      </w:rPr>
    </w:lvl>
    <w:lvl w:ilvl="2" w:tplc="14090005" w:tentative="1">
      <w:start w:val="1"/>
      <w:numFmt w:val="bullet"/>
      <w:lvlText w:val=""/>
      <w:lvlJc w:val="left"/>
      <w:pPr>
        <w:ind w:left="2225" w:hanging="360"/>
      </w:pPr>
      <w:rPr>
        <w:rFonts w:ascii="Wingdings" w:hAnsi="Wingdings" w:hint="default"/>
      </w:rPr>
    </w:lvl>
    <w:lvl w:ilvl="3" w:tplc="14090001" w:tentative="1">
      <w:start w:val="1"/>
      <w:numFmt w:val="bullet"/>
      <w:lvlText w:val=""/>
      <w:lvlJc w:val="left"/>
      <w:pPr>
        <w:ind w:left="2945" w:hanging="360"/>
      </w:pPr>
      <w:rPr>
        <w:rFonts w:ascii="Symbol" w:hAnsi="Symbol" w:hint="default"/>
      </w:rPr>
    </w:lvl>
    <w:lvl w:ilvl="4" w:tplc="14090003" w:tentative="1">
      <w:start w:val="1"/>
      <w:numFmt w:val="bullet"/>
      <w:lvlText w:val="o"/>
      <w:lvlJc w:val="left"/>
      <w:pPr>
        <w:ind w:left="3665" w:hanging="360"/>
      </w:pPr>
      <w:rPr>
        <w:rFonts w:ascii="Courier New" w:hAnsi="Courier New" w:cs="Courier New" w:hint="default"/>
      </w:rPr>
    </w:lvl>
    <w:lvl w:ilvl="5" w:tplc="14090005" w:tentative="1">
      <w:start w:val="1"/>
      <w:numFmt w:val="bullet"/>
      <w:lvlText w:val=""/>
      <w:lvlJc w:val="left"/>
      <w:pPr>
        <w:ind w:left="4385" w:hanging="360"/>
      </w:pPr>
      <w:rPr>
        <w:rFonts w:ascii="Wingdings" w:hAnsi="Wingdings" w:hint="default"/>
      </w:rPr>
    </w:lvl>
    <w:lvl w:ilvl="6" w:tplc="14090001" w:tentative="1">
      <w:start w:val="1"/>
      <w:numFmt w:val="bullet"/>
      <w:lvlText w:val=""/>
      <w:lvlJc w:val="left"/>
      <w:pPr>
        <w:ind w:left="5105" w:hanging="360"/>
      </w:pPr>
      <w:rPr>
        <w:rFonts w:ascii="Symbol" w:hAnsi="Symbol" w:hint="default"/>
      </w:rPr>
    </w:lvl>
    <w:lvl w:ilvl="7" w:tplc="14090003" w:tentative="1">
      <w:start w:val="1"/>
      <w:numFmt w:val="bullet"/>
      <w:lvlText w:val="o"/>
      <w:lvlJc w:val="left"/>
      <w:pPr>
        <w:ind w:left="5825" w:hanging="360"/>
      </w:pPr>
      <w:rPr>
        <w:rFonts w:ascii="Courier New" w:hAnsi="Courier New" w:cs="Courier New" w:hint="default"/>
      </w:rPr>
    </w:lvl>
    <w:lvl w:ilvl="8" w:tplc="14090005" w:tentative="1">
      <w:start w:val="1"/>
      <w:numFmt w:val="bullet"/>
      <w:lvlText w:val=""/>
      <w:lvlJc w:val="left"/>
      <w:pPr>
        <w:ind w:left="6545" w:hanging="360"/>
      </w:pPr>
      <w:rPr>
        <w:rFonts w:ascii="Wingdings" w:hAnsi="Wingdings" w:hint="default"/>
      </w:rPr>
    </w:lvl>
  </w:abstractNum>
  <w:abstractNum w:abstractNumId="19">
    <w:nsid w:val="4DBF4B14"/>
    <w:multiLevelType w:val="hybridMultilevel"/>
    <w:tmpl w:val="1362E69C"/>
    <w:lvl w:ilvl="0" w:tplc="1409000B">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0">
    <w:nsid w:val="4DF458E6"/>
    <w:multiLevelType w:val="hybridMultilevel"/>
    <w:tmpl w:val="8D265978"/>
    <w:lvl w:ilvl="0" w:tplc="1409000B">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nsid w:val="52C77464"/>
    <w:multiLevelType w:val="hybridMultilevel"/>
    <w:tmpl w:val="DE32B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61110B5"/>
    <w:multiLevelType w:val="hybridMultilevel"/>
    <w:tmpl w:val="435472AA"/>
    <w:lvl w:ilvl="0" w:tplc="1409000B">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3">
    <w:nsid w:val="5680331E"/>
    <w:multiLevelType w:val="hybridMultilevel"/>
    <w:tmpl w:val="A09853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9CE7FC4"/>
    <w:multiLevelType w:val="hybridMultilevel"/>
    <w:tmpl w:val="D3424AF4"/>
    <w:lvl w:ilvl="0" w:tplc="14090001">
      <w:start w:val="1"/>
      <w:numFmt w:val="bullet"/>
      <w:lvlText w:val=""/>
      <w:lvlJc w:val="left"/>
      <w:pPr>
        <w:ind w:left="785" w:hanging="360"/>
      </w:pPr>
      <w:rPr>
        <w:rFonts w:ascii="Symbol" w:hAnsi="Symbol" w:hint="default"/>
      </w:rPr>
    </w:lvl>
    <w:lvl w:ilvl="1" w:tplc="14090003" w:tentative="1">
      <w:start w:val="1"/>
      <w:numFmt w:val="bullet"/>
      <w:lvlText w:val="o"/>
      <w:lvlJc w:val="left"/>
      <w:pPr>
        <w:ind w:left="1505" w:hanging="360"/>
      </w:pPr>
      <w:rPr>
        <w:rFonts w:ascii="Courier New" w:hAnsi="Courier New" w:cs="Courier New" w:hint="default"/>
      </w:rPr>
    </w:lvl>
    <w:lvl w:ilvl="2" w:tplc="14090005" w:tentative="1">
      <w:start w:val="1"/>
      <w:numFmt w:val="bullet"/>
      <w:lvlText w:val=""/>
      <w:lvlJc w:val="left"/>
      <w:pPr>
        <w:ind w:left="2225" w:hanging="360"/>
      </w:pPr>
      <w:rPr>
        <w:rFonts w:ascii="Wingdings" w:hAnsi="Wingdings" w:hint="default"/>
      </w:rPr>
    </w:lvl>
    <w:lvl w:ilvl="3" w:tplc="14090001" w:tentative="1">
      <w:start w:val="1"/>
      <w:numFmt w:val="bullet"/>
      <w:lvlText w:val=""/>
      <w:lvlJc w:val="left"/>
      <w:pPr>
        <w:ind w:left="2945" w:hanging="360"/>
      </w:pPr>
      <w:rPr>
        <w:rFonts w:ascii="Symbol" w:hAnsi="Symbol" w:hint="default"/>
      </w:rPr>
    </w:lvl>
    <w:lvl w:ilvl="4" w:tplc="14090003" w:tentative="1">
      <w:start w:val="1"/>
      <w:numFmt w:val="bullet"/>
      <w:lvlText w:val="o"/>
      <w:lvlJc w:val="left"/>
      <w:pPr>
        <w:ind w:left="3665" w:hanging="360"/>
      </w:pPr>
      <w:rPr>
        <w:rFonts w:ascii="Courier New" w:hAnsi="Courier New" w:cs="Courier New" w:hint="default"/>
      </w:rPr>
    </w:lvl>
    <w:lvl w:ilvl="5" w:tplc="14090005" w:tentative="1">
      <w:start w:val="1"/>
      <w:numFmt w:val="bullet"/>
      <w:lvlText w:val=""/>
      <w:lvlJc w:val="left"/>
      <w:pPr>
        <w:ind w:left="4385" w:hanging="360"/>
      </w:pPr>
      <w:rPr>
        <w:rFonts w:ascii="Wingdings" w:hAnsi="Wingdings" w:hint="default"/>
      </w:rPr>
    </w:lvl>
    <w:lvl w:ilvl="6" w:tplc="14090001" w:tentative="1">
      <w:start w:val="1"/>
      <w:numFmt w:val="bullet"/>
      <w:lvlText w:val=""/>
      <w:lvlJc w:val="left"/>
      <w:pPr>
        <w:ind w:left="5105" w:hanging="360"/>
      </w:pPr>
      <w:rPr>
        <w:rFonts w:ascii="Symbol" w:hAnsi="Symbol" w:hint="default"/>
      </w:rPr>
    </w:lvl>
    <w:lvl w:ilvl="7" w:tplc="14090003" w:tentative="1">
      <w:start w:val="1"/>
      <w:numFmt w:val="bullet"/>
      <w:lvlText w:val="o"/>
      <w:lvlJc w:val="left"/>
      <w:pPr>
        <w:ind w:left="5825" w:hanging="360"/>
      </w:pPr>
      <w:rPr>
        <w:rFonts w:ascii="Courier New" w:hAnsi="Courier New" w:cs="Courier New" w:hint="default"/>
      </w:rPr>
    </w:lvl>
    <w:lvl w:ilvl="8" w:tplc="14090005" w:tentative="1">
      <w:start w:val="1"/>
      <w:numFmt w:val="bullet"/>
      <w:lvlText w:val=""/>
      <w:lvlJc w:val="left"/>
      <w:pPr>
        <w:ind w:left="6545" w:hanging="360"/>
      </w:pPr>
      <w:rPr>
        <w:rFonts w:ascii="Wingdings" w:hAnsi="Wingdings" w:hint="default"/>
      </w:rPr>
    </w:lvl>
  </w:abstractNum>
  <w:abstractNum w:abstractNumId="25">
    <w:nsid w:val="5D106788"/>
    <w:multiLevelType w:val="hybridMultilevel"/>
    <w:tmpl w:val="00D420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1D03337"/>
    <w:multiLevelType w:val="hybridMultilevel"/>
    <w:tmpl w:val="30AA5EC4"/>
    <w:lvl w:ilvl="0" w:tplc="CF600EC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6540026A"/>
    <w:multiLevelType w:val="hybridMultilevel"/>
    <w:tmpl w:val="AD8C40F2"/>
    <w:lvl w:ilvl="0" w:tplc="1409000B">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8">
    <w:nsid w:val="67004AA6"/>
    <w:multiLevelType w:val="hybridMultilevel"/>
    <w:tmpl w:val="0812FA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6D8B3307"/>
    <w:multiLevelType w:val="hybridMultilevel"/>
    <w:tmpl w:val="A828B7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1522EF6"/>
    <w:multiLevelType w:val="hybridMultilevel"/>
    <w:tmpl w:val="B62ADF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1F765B8"/>
    <w:multiLevelType w:val="hybridMultilevel"/>
    <w:tmpl w:val="F2EA96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3F00575"/>
    <w:multiLevelType w:val="hybridMultilevel"/>
    <w:tmpl w:val="41EEBF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4B63DDE"/>
    <w:multiLevelType w:val="hybridMultilevel"/>
    <w:tmpl w:val="A66AB07A"/>
    <w:lvl w:ilvl="0" w:tplc="7B6094B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76503F43"/>
    <w:multiLevelType w:val="hybridMultilevel"/>
    <w:tmpl w:val="53FA295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5">
    <w:nsid w:val="79EB0A5F"/>
    <w:multiLevelType w:val="hybridMultilevel"/>
    <w:tmpl w:val="A49ECF10"/>
    <w:lvl w:ilvl="0" w:tplc="EFC86FF8">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nsid w:val="7FA37077"/>
    <w:multiLevelType w:val="hybridMultilevel"/>
    <w:tmpl w:val="E2A09902"/>
    <w:lvl w:ilvl="0" w:tplc="1409000B">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21"/>
  </w:num>
  <w:num w:numId="2">
    <w:abstractNumId w:val="18"/>
  </w:num>
  <w:num w:numId="3">
    <w:abstractNumId w:val="4"/>
  </w:num>
  <w:num w:numId="4">
    <w:abstractNumId w:val="31"/>
  </w:num>
  <w:num w:numId="5">
    <w:abstractNumId w:val="23"/>
  </w:num>
  <w:num w:numId="6">
    <w:abstractNumId w:val="22"/>
  </w:num>
  <w:num w:numId="7">
    <w:abstractNumId w:val="8"/>
  </w:num>
  <w:num w:numId="8">
    <w:abstractNumId w:val="6"/>
  </w:num>
  <w:num w:numId="9">
    <w:abstractNumId w:val="14"/>
  </w:num>
  <w:num w:numId="10">
    <w:abstractNumId w:val="11"/>
  </w:num>
  <w:num w:numId="11">
    <w:abstractNumId w:val="25"/>
  </w:num>
  <w:num w:numId="12">
    <w:abstractNumId w:val="5"/>
  </w:num>
  <w:num w:numId="13">
    <w:abstractNumId w:val="34"/>
  </w:num>
  <w:num w:numId="14">
    <w:abstractNumId w:val="26"/>
  </w:num>
  <w:num w:numId="15">
    <w:abstractNumId w:val="16"/>
  </w:num>
  <w:num w:numId="16">
    <w:abstractNumId w:val="3"/>
  </w:num>
  <w:num w:numId="17">
    <w:abstractNumId w:val="9"/>
  </w:num>
  <w:num w:numId="18">
    <w:abstractNumId w:val="24"/>
  </w:num>
  <w:num w:numId="19">
    <w:abstractNumId w:val="10"/>
  </w:num>
  <w:num w:numId="20">
    <w:abstractNumId w:val="29"/>
  </w:num>
  <w:num w:numId="21">
    <w:abstractNumId w:val="28"/>
  </w:num>
  <w:num w:numId="22">
    <w:abstractNumId w:val="12"/>
  </w:num>
  <w:num w:numId="23">
    <w:abstractNumId w:val="2"/>
  </w:num>
  <w:num w:numId="24">
    <w:abstractNumId w:val="36"/>
  </w:num>
  <w:num w:numId="25">
    <w:abstractNumId w:val="7"/>
  </w:num>
  <w:num w:numId="26">
    <w:abstractNumId w:val="20"/>
  </w:num>
  <w:num w:numId="27">
    <w:abstractNumId w:val="1"/>
  </w:num>
  <w:num w:numId="28">
    <w:abstractNumId w:val="35"/>
  </w:num>
  <w:num w:numId="29">
    <w:abstractNumId w:val="17"/>
  </w:num>
  <w:num w:numId="30">
    <w:abstractNumId w:val="27"/>
  </w:num>
  <w:num w:numId="31">
    <w:abstractNumId w:val="32"/>
  </w:num>
  <w:num w:numId="32">
    <w:abstractNumId w:val="19"/>
  </w:num>
  <w:num w:numId="33">
    <w:abstractNumId w:val="33"/>
  </w:num>
  <w:num w:numId="34">
    <w:abstractNumId w:val="0"/>
  </w:num>
  <w:num w:numId="35">
    <w:abstractNumId w:val="13"/>
  </w:num>
  <w:num w:numId="36">
    <w:abstractNumId w:val="15"/>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F96"/>
    <w:rsid w:val="00013964"/>
    <w:rsid w:val="0003424B"/>
    <w:rsid w:val="00075EB1"/>
    <w:rsid w:val="00095742"/>
    <w:rsid w:val="000B3F96"/>
    <w:rsid w:val="000C1CA0"/>
    <w:rsid w:val="000D562D"/>
    <w:rsid w:val="00102944"/>
    <w:rsid w:val="0026267F"/>
    <w:rsid w:val="002979DF"/>
    <w:rsid w:val="002B7948"/>
    <w:rsid w:val="00322715"/>
    <w:rsid w:val="0034244F"/>
    <w:rsid w:val="003606D5"/>
    <w:rsid w:val="00363282"/>
    <w:rsid w:val="003D0922"/>
    <w:rsid w:val="004B2682"/>
    <w:rsid w:val="004B3F5B"/>
    <w:rsid w:val="004E3EE2"/>
    <w:rsid w:val="0057479E"/>
    <w:rsid w:val="005946E7"/>
    <w:rsid w:val="005B5830"/>
    <w:rsid w:val="0063373A"/>
    <w:rsid w:val="00643EF2"/>
    <w:rsid w:val="0065222E"/>
    <w:rsid w:val="006E08B4"/>
    <w:rsid w:val="0073388A"/>
    <w:rsid w:val="008045E6"/>
    <w:rsid w:val="00825510"/>
    <w:rsid w:val="0089276D"/>
    <w:rsid w:val="008C4A1E"/>
    <w:rsid w:val="008D4A61"/>
    <w:rsid w:val="0094335C"/>
    <w:rsid w:val="00966BD8"/>
    <w:rsid w:val="00982BD6"/>
    <w:rsid w:val="00994ECA"/>
    <w:rsid w:val="009D0A86"/>
    <w:rsid w:val="00A34B71"/>
    <w:rsid w:val="00BA58F4"/>
    <w:rsid w:val="00C30BB9"/>
    <w:rsid w:val="00C47F1E"/>
    <w:rsid w:val="00D35E14"/>
    <w:rsid w:val="00E14B0A"/>
    <w:rsid w:val="00E21B52"/>
    <w:rsid w:val="00F611B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F89DC1-E191-4B6B-A17B-586050248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3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B3F96"/>
    <w:pPr>
      <w:spacing w:after="0" w:line="240" w:lineRule="auto"/>
    </w:pPr>
  </w:style>
  <w:style w:type="paragraph" w:styleId="ListParagraph">
    <w:name w:val="List Paragraph"/>
    <w:basedOn w:val="Normal"/>
    <w:uiPriority w:val="34"/>
    <w:qFormat/>
    <w:rsid w:val="000B3F96"/>
    <w:pPr>
      <w:spacing w:after="0" w:line="240" w:lineRule="auto"/>
      <w:ind w:left="720"/>
      <w:contextualSpacing/>
      <w:jc w:val="both"/>
    </w:pPr>
    <w:rPr>
      <w:rFonts w:ascii="Arial" w:eastAsia="MS ??" w:hAnsi="Arial" w:cs="Times New Roman"/>
      <w:szCs w:val="20"/>
      <w:lang w:val="en-AU" w:eastAsia="ja-JP"/>
    </w:rPr>
  </w:style>
  <w:style w:type="paragraph" w:styleId="FootnoteText">
    <w:name w:val="footnote text"/>
    <w:basedOn w:val="Normal"/>
    <w:link w:val="FootnoteTextChar"/>
    <w:uiPriority w:val="99"/>
    <w:semiHidden/>
    <w:unhideWhenUsed/>
    <w:rsid w:val="00363282"/>
    <w:pPr>
      <w:spacing w:after="200" w:line="276"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363282"/>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363282"/>
    <w:rPr>
      <w:vertAlign w:val="superscript"/>
    </w:rPr>
  </w:style>
  <w:style w:type="paragraph" w:styleId="Header">
    <w:name w:val="header"/>
    <w:basedOn w:val="Normal"/>
    <w:link w:val="HeaderChar"/>
    <w:uiPriority w:val="99"/>
    <w:unhideWhenUsed/>
    <w:rsid w:val="006522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222E"/>
  </w:style>
  <w:style w:type="paragraph" w:styleId="Footer">
    <w:name w:val="footer"/>
    <w:basedOn w:val="Normal"/>
    <w:link w:val="FooterChar"/>
    <w:uiPriority w:val="99"/>
    <w:unhideWhenUsed/>
    <w:rsid w:val="006522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2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05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3533B-DC64-4046-B81B-BC257C8BD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1606</TotalTime>
  <Pages>23</Pages>
  <Words>5284</Words>
  <Characters>30119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Smith</dc:creator>
  <cp:keywords/>
  <dc:description/>
  <cp:lastModifiedBy>Brian Smith</cp:lastModifiedBy>
  <cp:revision>8</cp:revision>
  <dcterms:created xsi:type="dcterms:W3CDTF">2014-11-29T21:33:00Z</dcterms:created>
  <dcterms:modified xsi:type="dcterms:W3CDTF">2014-12-01T18:41:00Z</dcterms:modified>
</cp:coreProperties>
</file>