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15" w:rsidRDefault="00900F15" w:rsidP="00900F15">
      <w:pPr>
        <w:rPr>
          <w:rFonts w:ascii="Baskerville Old Face" w:hAnsi="Baskerville Old Face" w:cs="Aharoni"/>
          <w:b/>
          <w:i/>
          <w:color w:val="215868"/>
          <w:sz w:val="48"/>
          <w:szCs w:val="48"/>
        </w:rPr>
      </w:pPr>
      <w:r w:rsidRPr="00251C76">
        <w:rPr>
          <w:rFonts w:ascii="Baskerville Old Face" w:hAnsi="Baskerville Old Face" w:cs="Aharoni"/>
          <w:b/>
          <w:i/>
          <w:color w:val="215868"/>
          <w:sz w:val="48"/>
          <w:szCs w:val="48"/>
        </w:rPr>
        <w:t>Brian Smith Advisory Services Limited</w:t>
      </w:r>
    </w:p>
    <w:p w:rsidR="00900F15" w:rsidRDefault="00900F15" w:rsidP="00900F15">
      <w:pPr>
        <w:rPr>
          <w:rFonts w:ascii="Baskerville Old Face" w:hAnsi="Baskerville Old Face" w:cs="Aharoni"/>
          <w:b/>
          <w:i/>
          <w:color w:val="215868"/>
          <w:sz w:val="36"/>
          <w:szCs w:val="36"/>
        </w:rPr>
      </w:pPr>
      <w:r>
        <w:rPr>
          <w:rFonts w:ascii="Baskerville Old Face" w:hAnsi="Baskerville Old Face" w:cs="Aharoni"/>
          <w:b/>
          <w:i/>
          <w:color w:val="215868"/>
          <w:sz w:val="36"/>
          <w:szCs w:val="36"/>
        </w:rPr>
        <w:t>Public Sector Financial and Management Services</w:t>
      </w:r>
    </w:p>
    <w:p w:rsidR="00900F15" w:rsidRDefault="00900F15" w:rsidP="00900F15">
      <w:pPr>
        <w:rPr>
          <w:rFonts w:ascii="Times New Roman" w:hAnsi="Times New Roman"/>
          <w:color w:val="215868"/>
          <w:sz w:val="28"/>
          <w:szCs w:val="28"/>
        </w:rPr>
      </w:pPr>
      <w:r w:rsidRPr="00251C76">
        <w:rPr>
          <w:rFonts w:ascii="Times New Roman" w:hAnsi="Times New Roman"/>
          <w:color w:val="215868"/>
          <w:sz w:val="28"/>
          <w:szCs w:val="28"/>
        </w:rPr>
        <w:t xml:space="preserve">3 </w:t>
      </w:r>
      <w:proofErr w:type="spellStart"/>
      <w:r w:rsidRPr="00251C76">
        <w:rPr>
          <w:rFonts w:ascii="Times New Roman" w:hAnsi="Times New Roman"/>
          <w:color w:val="215868"/>
          <w:sz w:val="28"/>
          <w:szCs w:val="28"/>
        </w:rPr>
        <w:t>Hossack</w:t>
      </w:r>
      <w:proofErr w:type="spellEnd"/>
      <w:r w:rsidRPr="00251C76">
        <w:rPr>
          <w:rFonts w:ascii="Times New Roman" w:hAnsi="Times New Roman"/>
          <w:color w:val="215868"/>
          <w:sz w:val="28"/>
          <w:szCs w:val="28"/>
        </w:rPr>
        <w:t xml:space="preserve"> Close</w:t>
      </w:r>
      <w:r>
        <w:rPr>
          <w:rFonts w:ascii="Times New Roman" w:hAnsi="Times New Roman"/>
          <w:color w:val="215868"/>
          <w:sz w:val="28"/>
          <w:szCs w:val="28"/>
        </w:rPr>
        <w:t>, Christchurch 8051</w:t>
      </w:r>
    </w:p>
    <w:p w:rsidR="00900F15" w:rsidRDefault="00900F15" w:rsidP="00900F15">
      <w:pPr>
        <w:rPr>
          <w:rFonts w:ascii="Times New Roman" w:hAnsi="Times New Roman"/>
          <w:color w:val="215868"/>
          <w:sz w:val="28"/>
          <w:szCs w:val="28"/>
        </w:rPr>
      </w:pPr>
      <w:r>
        <w:rPr>
          <w:rFonts w:ascii="Times New Roman" w:hAnsi="Times New Roman"/>
          <w:color w:val="215868"/>
          <w:sz w:val="28"/>
          <w:szCs w:val="28"/>
        </w:rPr>
        <w:t>T (</w:t>
      </w:r>
      <w:bookmarkStart w:id="0" w:name="_GoBack"/>
      <w:bookmarkEnd w:id="0"/>
      <w:r>
        <w:rPr>
          <w:rFonts w:ascii="Times New Roman" w:hAnsi="Times New Roman"/>
          <w:color w:val="215868"/>
          <w:sz w:val="28"/>
          <w:szCs w:val="28"/>
        </w:rPr>
        <w:t>03) 3236-335      M (027) 440-3001    E Mail   briansmithadvisory@xtra.co.nz</w:t>
      </w:r>
    </w:p>
    <w:p w:rsidR="00900F15" w:rsidRPr="00AF239F" w:rsidRDefault="00E0456D" w:rsidP="00900F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5 February</w:t>
      </w:r>
      <w:r w:rsidR="00900F15">
        <w:rPr>
          <w:rFonts w:ascii="Arial" w:hAnsi="Arial" w:cs="Arial"/>
        </w:rPr>
        <w:t xml:space="preserve"> 2014</w:t>
      </w:r>
    </w:p>
    <w:p w:rsidR="00900F15" w:rsidRPr="00AF239F" w:rsidRDefault="00900F15" w:rsidP="00900F15">
      <w:pPr>
        <w:pStyle w:val="NoSpacing"/>
        <w:rPr>
          <w:rFonts w:ascii="Arial" w:hAnsi="Arial" w:cs="Arial"/>
        </w:rPr>
      </w:pPr>
    </w:p>
    <w:p w:rsidR="00900F15" w:rsidRPr="00AF239F" w:rsidRDefault="00900F15" w:rsidP="00900F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Mr Don Mackay</w:t>
      </w:r>
    </w:p>
    <w:p w:rsidR="00900F15" w:rsidRDefault="00900F15" w:rsidP="00900F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Senior Advisor</w:t>
      </w:r>
    </w:p>
    <w:p w:rsidR="00900F15" w:rsidRPr="00AF239F" w:rsidRDefault="00900F15" w:rsidP="00900F15">
      <w:pPr>
        <w:pStyle w:val="NoSpacing"/>
        <w:rPr>
          <w:rFonts w:ascii="Arial" w:hAnsi="Arial" w:cs="Arial"/>
        </w:rPr>
      </w:pPr>
      <w:r w:rsidRPr="00AF239F">
        <w:rPr>
          <w:rFonts w:ascii="Arial" w:hAnsi="Arial" w:cs="Arial"/>
        </w:rPr>
        <w:t>Local Government Commission</w:t>
      </w:r>
    </w:p>
    <w:p w:rsidR="00900F15" w:rsidRPr="00AF239F" w:rsidRDefault="00900F15" w:rsidP="00900F15">
      <w:pPr>
        <w:pStyle w:val="NoSpacing"/>
        <w:rPr>
          <w:rFonts w:ascii="Arial" w:hAnsi="Arial" w:cs="Arial"/>
        </w:rPr>
      </w:pPr>
      <w:r w:rsidRPr="00AF239F">
        <w:rPr>
          <w:rFonts w:ascii="Arial" w:hAnsi="Arial" w:cs="Arial"/>
        </w:rPr>
        <w:t>P O Box 5362</w:t>
      </w:r>
    </w:p>
    <w:p w:rsidR="00900F15" w:rsidRPr="00AF239F" w:rsidRDefault="00900F15" w:rsidP="00900F15">
      <w:pPr>
        <w:pStyle w:val="NoSpacing"/>
        <w:rPr>
          <w:rFonts w:ascii="Arial" w:hAnsi="Arial" w:cs="Arial"/>
        </w:rPr>
      </w:pPr>
      <w:r w:rsidRPr="00AF239F">
        <w:rPr>
          <w:rFonts w:ascii="Arial" w:hAnsi="Arial" w:cs="Arial"/>
        </w:rPr>
        <w:t>WELLINGTON 6145</w:t>
      </w:r>
    </w:p>
    <w:p w:rsidR="00900F15" w:rsidRPr="00AF239F" w:rsidRDefault="00900F15" w:rsidP="00900F15">
      <w:pPr>
        <w:pStyle w:val="NoSpacing"/>
        <w:rPr>
          <w:rFonts w:ascii="Arial" w:hAnsi="Arial" w:cs="Arial"/>
        </w:rPr>
      </w:pPr>
    </w:p>
    <w:p w:rsidR="00900F15" w:rsidRPr="00AF239F" w:rsidRDefault="00900F15" w:rsidP="00900F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Dear Don</w:t>
      </w:r>
    </w:p>
    <w:p w:rsidR="00900F15" w:rsidRDefault="00900F15" w:rsidP="00900F15">
      <w:pPr>
        <w:pStyle w:val="NoSpacing"/>
        <w:rPr>
          <w:rFonts w:ascii="Arial" w:hAnsi="Arial" w:cs="Arial"/>
        </w:rPr>
      </w:pPr>
    </w:p>
    <w:p w:rsidR="00900F15" w:rsidRPr="00900F15" w:rsidRDefault="00900F15" w:rsidP="00900F15">
      <w:pPr>
        <w:pStyle w:val="NoSpacing"/>
        <w:rPr>
          <w:rFonts w:ascii="Arial" w:hAnsi="Arial" w:cs="Arial"/>
          <w:b/>
        </w:rPr>
      </w:pPr>
      <w:r w:rsidRPr="00900F15">
        <w:rPr>
          <w:rFonts w:ascii="Arial" w:hAnsi="Arial" w:cs="Arial"/>
          <w:b/>
        </w:rPr>
        <w:t xml:space="preserve">INFORMATION ON </w:t>
      </w:r>
      <w:r>
        <w:rPr>
          <w:rFonts w:ascii="Arial" w:hAnsi="Arial" w:cs="Arial"/>
          <w:b/>
        </w:rPr>
        <w:t>FORECAST</w:t>
      </w:r>
      <w:r w:rsidRPr="00900F15">
        <w:rPr>
          <w:rFonts w:ascii="Arial" w:hAnsi="Arial" w:cs="Arial"/>
          <w:b/>
        </w:rPr>
        <w:t>CAPITAL EXPENDITURE FOR THE LTP PERIOD 2012-22 FOR THE WAIRARAPA</w:t>
      </w:r>
    </w:p>
    <w:p w:rsidR="00900F15" w:rsidRPr="00CB36BA" w:rsidRDefault="00900F15" w:rsidP="00900F15">
      <w:pPr>
        <w:pStyle w:val="NoSpacing"/>
        <w:rPr>
          <w:rFonts w:ascii="Arial" w:hAnsi="Arial" w:cs="Arial"/>
          <w:b/>
          <w:i/>
        </w:rPr>
      </w:pPr>
    </w:p>
    <w:p w:rsidR="00900F15" w:rsidRDefault="00900F15" w:rsidP="00900F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Further to our recent discussions I have now undertaken an </w:t>
      </w:r>
      <w:r w:rsidRPr="00AF239F">
        <w:rPr>
          <w:rFonts w:ascii="Arial" w:hAnsi="Arial" w:cs="Arial"/>
        </w:rPr>
        <w:t xml:space="preserve">analysis </w:t>
      </w:r>
      <w:r>
        <w:rPr>
          <w:rFonts w:ascii="Arial" w:hAnsi="Arial" w:cs="Arial"/>
        </w:rPr>
        <w:t xml:space="preserve">of the three </w:t>
      </w:r>
      <w:proofErr w:type="spellStart"/>
      <w:r>
        <w:rPr>
          <w:rFonts w:ascii="Arial" w:hAnsi="Arial" w:cs="Arial"/>
        </w:rPr>
        <w:t>Wairarapa</w:t>
      </w:r>
      <w:proofErr w:type="spellEnd"/>
      <w:r>
        <w:rPr>
          <w:rFonts w:ascii="Arial" w:hAnsi="Arial" w:cs="Arial"/>
        </w:rPr>
        <w:t xml:space="preserve"> councils and the Greater Wellington Regional Council LTPs to identify the forecast capital expenditure for the period 2012-22 to be spent in the </w:t>
      </w:r>
      <w:proofErr w:type="spellStart"/>
      <w:r>
        <w:rPr>
          <w:rFonts w:ascii="Arial" w:hAnsi="Arial" w:cs="Arial"/>
        </w:rPr>
        <w:t>Wairarapa</w:t>
      </w:r>
      <w:proofErr w:type="spellEnd"/>
      <w:r>
        <w:rPr>
          <w:rFonts w:ascii="Arial" w:hAnsi="Arial" w:cs="Arial"/>
        </w:rPr>
        <w:t xml:space="preserve"> area.</w:t>
      </w:r>
    </w:p>
    <w:p w:rsidR="00900F15" w:rsidRDefault="00900F15" w:rsidP="00900F15">
      <w:pPr>
        <w:pStyle w:val="NoSpacing"/>
        <w:rPr>
          <w:rFonts w:ascii="Arial" w:hAnsi="Arial" w:cs="Arial"/>
        </w:rPr>
      </w:pPr>
    </w:p>
    <w:p w:rsidR="00900F15" w:rsidRDefault="00E0456D" w:rsidP="00900F1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For GWRC I have received a package of information yesterday</w:t>
      </w:r>
      <w:r w:rsidR="003351D8">
        <w:rPr>
          <w:rFonts w:ascii="Arial" w:hAnsi="Arial" w:cs="Arial"/>
        </w:rPr>
        <w:t xml:space="preserve"> although this largely comprised </w:t>
      </w:r>
      <w:r>
        <w:rPr>
          <w:rFonts w:ascii="Arial" w:hAnsi="Arial" w:cs="Arial"/>
        </w:rPr>
        <w:t>information previously supplied to the Commission.</w:t>
      </w:r>
    </w:p>
    <w:p w:rsidR="00F6594F" w:rsidRDefault="00F6594F" w:rsidP="00900F15">
      <w:pPr>
        <w:pStyle w:val="NoSpacing"/>
        <w:rPr>
          <w:rFonts w:ascii="Arial" w:hAnsi="Arial" w:cs="Arial"/>
          <w:b/>
          <w:i/>
        </w:rPr>
      </w:pPr>
    </w:p>
    <w:p w:rsidR="00900F15" w:rsidRPr="003351D8" w:rsidRDefault="00900F15" w:rsidP="00900F15">
      <w:pPr>
        <w:pStyle w:val="NoSpacing"/>
        <w:rPr>
          <w:rFonts w:ascii="Arial" w:hAnsi="Arial" w:cs="Arial"/>
          <w:b/>
        </w:rPr>
      </w:pPr>
      <w:r w:rsidRPr="003351D8">
        <w:rPr>
          <w:rFonts w:ascii="Arial" w:hAnsi="Arial" w:cs="Arial"/>
          <w:b/>
          <w:i/>
        </w:rPr>
        <w:t xml:space="preserve"> </w:t>
      </w:r>
      <w:r w:rsidRPr="003351D8">
        <w:rPr>
          <w:rFonts w:ascii="Arial" w:hAnsi="Arial" w:cs="Arial"/>
          <w:b/>
        </w:rPr>
        <w:t xml:space="preserve">Table 1 – </w:t>
      </w:r>
      <w:proofErr w:type="spellStart"/>
      <w:r w:rsidR="00CF3296" w:rsidRPr="003351D8">
        <w:rPr>
          <w:rFonts w:ascii="Arial" w:hAnsi="Arial" w:cs="Arial"/>
          <w:b/>
        </w:rPr>
        <w:t>Wairarapa</w:t>
      </w:r>
      <w:proofErr w:type="spellEnd"/>
      <w:r w:rsidR="00CF3296" w:rsidRPr="003351D8">
        <w:rPr>
          <w:rFonts w:ascii="Arial" w:hAnsi="Arial" w:cs="Arial"/>
          <w:b/>
        </w:rPr>
        <w:t xml:space="preserve"> related forecast </w:t>
      </w:r>
      <w:proofErr w:type="spellStart"/>
      <w:r w:rsidR="00CF3296" w:rsidRPr="003351D8">
        <w:rPr>
          <w:rFonts w:ascii="Arial" w:hAnsi="Arial" w:cs="Arial"/>
          <w:b/>
        </w:rPr>
        <w:t>capex</w:t>
      </w:r>
      <w:proofErr w:type="spellEnd"/>
      <w:r w:rsidR="00CF3296" w:rsidRPr="003351D8">
        <w:rPr>
          <w:rFonts w:ascii="Arial" w:hAnsi="Arial" w:cs="Arial"/>
          <w:b/>
        </w:rPr>
        <w:t>; 2012-22</w:t>
      </w:r>
    </w:p>
    <w:p w:rsidR="00CF3296" w:rsidRDefault="00CF3296" w:rsidP="00900F15">
      <w:pPr>
        <w:pStyle w:val="NoSpacing"/>
        <w:rPr>
          <w:rFonts w:ascii="Arial" w:hAnsi="Arial" w:cs="Arial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4158"/>
        <w:gridCol w:w="1260"/>
        <w:gridCol w:w="1170"/>
        <w:gridCol w:w="1350"/>
        <w:gridCol w:w="1170"/>
        <w:gridCol w:w="1530"/>
      </w:tblGrid>
      <w:tr w:rsidR="004F38FA" w:rsidTr="00E0456D">
        <w:tc>
          <w:tcPr>
            <w:tcW w:w="4158" w:type="dxa"/>
            <w:vMerge w:val="restart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Council</w:t>
            </w:r>
          </w:p>
        </w:tc>
        <w:tc>
          <w:tcPr>
            <w:tcW w:w="6480" w:type="dxa"/>
            <w:gridSpan w:val="5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Capex</w:t>
            </w:r>
            <w:proofErr w:type="spellEnd"/>
            <w:r>
              <w:rPr>
                <w:rFonts w:ascii="Arial" w:hAnsi="Arial" w:cs="Arial"/>
              </w:rPr>
              <w:t xml:space="preserve"> per LTP 2012-22 ($millions)</w:t>
            </w:r>
          </w:p>
        </w:tc>
      </w:tr>
      <w:tr w:rsidR="004F38FA" w:rsidTr="00E0456D">
        <w:tc>
          <w:tcPr>
            <w:tcW w:w="4158" w:type="dxa"/>
            <w:vMerge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Growth </w:t>
            </w:r>
            <w:proofErr w:type="spellStart"/>
            <w:r>
              <w:rPr>
                <w:rFonts w:ascii="Arial" w:hAnsi="Arial" w:cs="Arial"/>
              </w:rPr>
              <w:t>Capex</w:t>
            </w:r>
            <w:proofErr w:type="spellEnd"/>
          </w:p>
        </w:tc>
        <w:tc>
          <w:tcPr>
            <w:tcW w:w="1170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Levels of Service </w:t>
            </w:r>
            <w:proofErr w:type="spellStart"/>
            <w:r>
              <w:rPr>
                <w:rFonts w:ascii="Arial" w:hAnsi="Arial" w:cs="Arial"/>
              </w:rPr>
              <w:t>Capex</w:t>
            </w:r>
            <w:proofErr w:type="spellEnd"/>
          </w:p>
        </w:tc>
        <w:tc>
          <w:tcPr>
            <w:tcW w:w="1350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Renewal</w:t>
            </w:r>
          </w:p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Capex</w:t>
            </w:r>
            <w:proofErr w:type="spellEnd"/>
          </w:p>
        </w:tc>
        <w:tc>
          <w:tcPr>
            <w:tcW w:w="1170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Council </w:t>
            </w:r>
            <w:proofErr w:type="spellStart"/>
            <w:r>
              <w:rPr>
                <w:rFonts w:ascii="Arial" w:hAnsi="Arial" w:cs="Arial"/>
              </w:rPr>
              <w:t>Capex</w:t>
            </w:r>
            <w:proofErr w:type="spellEnd"/>
          </w:p>
        </w:tc>
        <w:tc>
          <w:tcPr>
            <w:tcW w:w="1530" w:type="dxa"/>
          </w:tcPr>
          <w:p w:rsidR="004F38FA" w:rsidRDefault="004F38FA" w:rsidP="004F38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Council % of collective </w:t>
            </w:r>
            <w:proofErr w:type="spellStart"/>
            <w:r>
              <w:rPr>
                <w:rFonts w:ascii="Arial" w:hAnsi="Arial" w:cs="Arial"/>
              </w:rPr>
              <w:t>capex</w:t>
            </w:r>
            <w:proofErr w:type="spellEnd"/>
          </w:p>
        </w:tc>
      </w:tr>
      <w:tr w:rsidR="004F38FA" w:rsidTr="00E0456D">
        <w:tc>
          <w:tcPr>
            <w:tcW w:w="4158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Carterton</w:t>
            </w:r>
            <w:proofErr w:type="spellEnd"/>
          </w:p>
        </w:tc>
        <w:tc>
          <w:tcPr>
            <w:tcW w:w="126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</w:p>
        </w:tc>
        <w:tc>
          <w:tcPr>
            <w:tcW w:w="135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42.4</w:t>
            </w:r>
          </w:p>
        </w:tc>
        <w:tc>
          <w:tcPr>
            <w:tcW w:w="1530" w:type="dxa"/>
          </w:tcPr>
          <w:p w:rsidR="004F38FA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17%</w:t>
            </w:r>
          </w:p>
        </w:tc>
      </w:tr>
      <w:tr w:rsidR="004F38FA" w:rsidTr="00E0456D">
        <w:tc>
          <w:tcPr>
            <w:tcW w:w="4158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Masterton</w:t>
            </w:r>
            <w:proofErr w:type="spellEnd"/>
          </w:p>
        </w:tc>
        <w:tc>
          <w:tcPr>
            <w:tcW w:w="126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</w:t>
            </w:r>
          </w:p>
        </w:tc>
        <w:tc>
          <w:tcPr>
            <w:tcW w:w="135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88.6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121.0</w:t>
            </w:r>
          </w:p>
        </w:tc>
        <w:tc>
          <w:tcPr>
            <w:tcW w:w="1530" w:type="dxa"/>
          </w:tcPr>
          <w:p w:rsidR="004F38FA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48%</w:t>
            </w:r>
          </w:p>
        </w:tc>
      </w:tr>
      <w:tr w:rsidR="004F38FA" w:rsidTr="00E0456D">
        <w:tc>
          <w:tcPr>
            <w:tcW w:w="4158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South </w:t>
            </w:r>
            <w:proofErr w:type="spellStart"/>
            <w:r>
              <w:rPr>
                <w:rFonts w:ascii="Arial" w:hAnsi="Arial" w:cs="Arial"/>
              </w:rPr>
              <w:t>Wairarapa</w:t>
            </w:r>
            <w:proofErr w:type="spellEnd"/>
          </w:p>
        </w:tc>
        <w:tc>
          <w:tcPr>
            <w:tcW w:w="126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</w:t>
            </w:r>
          </w:p>
        </w:tc>
        <w:tc>
          <w:tcPr>
            <w:tcW w:w="135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40.2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51.5</w:t>
            </w:r>
          </w:p>
        </w:tc>
        <w:tc>
          <w:tcPr>
            <w:tcW w:w="1530" w:type="dxa"/>
          </w:tcPr>
          <w:p w:rsidR="004F38FA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21%</w:t>
            </w:r>
          </w:p>
        </w:tc>
      </w:tr>
      <w:tr w:rsidR="004F38FA" w:rsidTr="00E0456D">
        <w:tc>
          <w:tcPr>
            <w:tcW w:w="4158" w:type="dxa"/>
          </w:tcPr>
          <w:p w:rsidR="004F38FA" w:rsidRDefault="004F38FA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GWRC – </w:t>
            </w:r>
            <w:proofErr w:type="spellStart"/>
            <w:r>
              <w:rPr>
                <w:rFonts w:ascii="Arial" w:hAnsi="Arial" w:cs="Arial"/>
              </w:rPr>
              <w:t>Wai</w:t>
            </w:r>
            <w:r w:rsidR="00E0456D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arapa</w:t>
            </w:r>
            <w:proofErr w:type="spellEnd"/>
            <w:r>
              <w:rPr>
                <w:rFonts w:ascii="Arial" w:hAnsi="Arial" w:cs="Arial"/>
              </w:rPr>
              <w:t xml:space="preserve"> Flood</w:t>
            </w:r>
            <w:r w:rsidR="00E045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Protection</w:t>
            </w:r>
          </w:p>
        </w:tc>
        <w:tc>
          <w:tcPr>
            <w:tcW w:w="126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nil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</w:t>
            </w:r>
          </w:p>
        </w:tc>
        <w:tc>
          <w:tcPr>
            <w:tcW w:w="135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</w:t>
            </w:r>
          </w:p>
        </w:tc>
        <w:tc>
          <w:tcPr>
            <w:tcW w:w="1170" w:type="dxa"/>
          </w:tcPr>
          <w:p w:rsidR="004F38FA" w:rsidRDefault="004F38FA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</w:t>
            </w:r>
          </w:p>
        </w:tc>
        <w:tc>
          <w:tcPr>
            <w:tcW w:w="1530" w:type="dxa"/>
          </w:tcPr>
          <w:p w:rsidR="004F38FA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6%</w:t>
            </w:r>
          </w:p>
        </w:tc>
      </w:tr>
      <w:tr w:rsidR="00E0456D" w:rsidTr="00E0456D">
        <w:tc>
          <w:tcPr>
            <w:tcW w:w="4158" w:type="dxa"/>
          </w:tcPr>
          <w:p w:rsidR="00E0456D" w:rsidRDefault="00E0456D" w:rsidP="00900F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GWRC – </w:t>
            </w:r>
            <w:proofErr w:type="spellStart"/>
            <w:r>
              <w:rPr>
                <w:rFonts w:ascii="Arial" w:hAnsi="Arial" w:cs="Arial"/>
              </w:rPr>
              <w:t>Wairarapa</w:t>
            </w:r>
            <w:proofErr w:type="spellEnd"/>
            <w:r>
              <w:rPr>
                <w:rFonts w:ascii="Arial" w:hAnsi="Arial" w:cs="Arial"/>
              </w:rPr>
              <w:t xml:space="preserve"> Rail </w:t>
            </w:r>
            <w:proofErr w:type="spellStart"/>
            <w:r>
              <w:rPr>
                <w:rFonts w:ascii="Arial" w:hAnsi="Arial" w:cs="Arial"/>
              </w:rPr>
              <w:t>Capex</w:t>
            </w:r>
            <w:proofErr w:type="spellEnd"/>
          </w:p>
        </w:tc>
        <w:tc>
          <w:tcPr>
            <w:tcW w:w="1260" w:type="dxa"/>
          </w:tcPr>
          <w:p w:rsidR="00E0456D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nil</w:t>
            </w:r>
          </w:p>
        </w:tc>
        <w:tc>
          <w:tcPr>
            <w:tcW w:w="1170" w:type="dxa"/>
          </w:tcPr>
          <w:p w:rsidR="00E0456D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nil</w:t>
            </w:r>
          </w:p>
        </w:tc>
        <w:tc>
          <w:tcPr>
            <w:tcW w:w="1350" w:type="dxa"/>
          </w:tcPr>
          <w:p w:rsidR="00E0456D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20.6</w:t>
            </w:r>
          </w:p>
        </w:tc>
        <w:tc>
          <w:tcPr>
            <w:tcW w:w="1170" w:type="dxa"/>
          </w:tcPr>
          <w:p w:rsidR="00E0456D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20.6</w:t>
            </w:r>
          </w:p>
        </w:tc>
        <w:tc>
          <w:tcPr>
            <w:tcW w:w="1530" w:type="dxa"/>
          </w:tcPr>
          <w:p w:rsidR="00E0456D" w:rsidRDefault="00E0456D" w:rsidP="00F6594F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</w:tr>
      <w:tr w:rsidR="004F38FA" w:rsidTr="00E0456D">
        <w:tc>
          <w:tcPr>
            <w:tcW w:w="4158" w:type="dxa"/>
          </w:tcPr>
          <w:p w:rsidR="004F38FA" w:rsidRPr="00F6594F" w:rsidRDefault="004F38FA" w:rsidP="00900F15">
            <w:pPr>
              <w:pStyle w:val="NoSpacing"/>
              <w:rPr>
                <w:rFonts w:ascii="Arial" w:hAnsi="Arial" w:cs="Arial"/>
                <w:b/>
              </w:rPr>
            </w:pPr>
            <w:r w:rsidRPr="00F6594F">
              <w:rPr>
                <w:rFonts w:ascii="Arial" w:hAnsi="Arial" w:cs="Arial"/>
                <w:b/>
              </w:rPr>
              <w:t>Totals</w:t>
            </w:r>
          </w:p>
        </w:tc>
        <w:tc>
          <w:tcPr>
            <w:tcW w:w="1260" w:type="dxa"/>
          </w:tcPr>
          <w:p w:rsidR="004F38FA" w:rsidRPr="00F6594F" w:rsidRDefault="00E0456D" w:rsidP="00F6594F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$</w:t>
            </w:r>
            <w:r w:rsidR="004F38FA" w:rsidRPr="00F6594F">
              <w:rPr>
                <w:rFonts w:ascii="Arial" w:hAnsi="Arial" w:cs="Arial"/>
                <w:b/>
              </w:rPr>
              <w:t>4.0</w:t>
            </w:r>
          </w:p>
        </w:tc>
        <w:tc>
          <w:tcPr>
            <w:tcW w:w="1170" w:type="dxa"/>
          </w:tcPr>
          <w:p w:rsidR="004F38FA" w:rsidRPr="00F6594F" w:rsidRDefault="00E0456D" w:rsidP="00F6594F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$</w:t>
            </w:r>
            <w:r w:rsidR="004F38FA" w:rsidRPr="00F6594F">
              <w:rPr>
                <w:rFonts w:ascii="Arial" w:hAnsi="Arial" w:cs="Arial"/>
                <w:b/>
              </w:rPr>
              <w:t>59.5</w:t>
            </w:r>
          </w:p>
        </w:tc>
        <w:tc>
          <w:tcPr>
            <w:tcW w:w="1350" w:type="dxa"/>
          </w:tcPr>
          <w:p w:rsidR="004F38FA" w:rsidRPr="00F6594F" w:rsidRDefault="00E0456D" w:rsidP="00F6594F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$</w:t>
            </w:r>
            <w:r w:rsidR="00F6594F" w:rsidRPr="00F6594F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87.1</w:t>
            </w:r>
          </w:p>
        </w:tc>
        <w:tc>
          <w:tcPr>
            <w:tcW w:w="1170" w:type="dxa"/>
          </w:tcPr>
          <w:p w:rsidR="004F38FA" w:rsidRPr="00F6594F" w:rsidRDefault="00E0456D" w:rsidP="00F6594F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$</w:t>
            </w:r>
            <w:r w:rsidR="00F6594F" w:rsidRPr="00F6594F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50.6</w:t>
            </w:r>
          </w:p>
        </w:tc>
        <w:tc>
          <w:tcPr>
            <w:tcW w:w="1530" w:type="dxa"/>
          </w:tcPr>
          <w:p w:rsidR="004F38FA" w:rsidRPr="00F6594F" w:rsidRDefault="004F38FA" w:rsidP="00F6594F">
            <w:pPr>
              <w:pStyle w:val="NoSpacing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00F15" w:rsidRPr="00900F15" w:rsidRDefault="00900F15" w:rsidP="00900F15">
      <w:pPr>
        <w:pStyle w:val="NoSpacing"/>
        <w:rPr>
          <w:rFonts w:ascii="Arial" w:hAnsi="Arial" w:cs="Arial"/>
        </w:rPr>
      </w:pPr>
    </w:p>
    <w:p w:rsidR="00622739" w:rsidRDefault="00E0456D" w:rsidP="00EA6CCF">
      <w:pPr>
        <w:pStyle w:val="NoSpacing"/>
        <w:rPr>
          <w:rFonts w:ascii="Arial" w:hAnsi="Arial" w:cs="Arial"/>
          <w:noProof/>
        </w:rPr>
      </w:pPr>
      <w:r w:rsidRPr="00EA6CCF">
        <w:rPr>
          <w:rFonts w:ascii="Arial" w:hAnsi="Arial" w:cs="Arial"/>
          <w:noProof/>
        </w:rPr>
        <w:t>Notes;</w:t>
      </w:r>
    </w:p>
    <w:p w:rsidR="00EA6CCF" w:rsidRPr="00EA6CCF" w:rsidRDefault="00EA6CCF" w:rsidP="00EA6CCF">
      <w:pPr>
        <w:pStyle w:val="NoSpacing"/>
        <w:rPr>
          <w:rFonts w:ascii="Arial" w:hAnsi="Arial" w:cs="Arial"/>
          <w:noProof/>
        </w:rPr>
      </w:pPr>
    </w:p>
    <w:p w:rsidR="00E0456D" w:rsidRDefault="00EA6CCF" w:rsidP="00EA6CCF">
      <w:pPr>
        <w:pStyle w:val="NoSpacing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1. </w:t>
      </w:r>
      <w:r w:rsidR="00E0456D" w:rsidRPr="00EA6CCF">
        <w:rPr>
          <w:rFonts w:ascii="Arial" w:hAnsi="Arial" w:cs="Arial"/>
          <w:noProof/>
        </w:rPr>
        <w:t>GWRC Wairarapa Flood Protection –</w:t>
      </w:r>
      <w:r w:rsidR="00867AD5" w:rsidRPr="00EA6CCF">
        <w:rPr>
          <w:rFonts w:ascii="Arial" w:hAnsi="Arial" w:cs="Arial"/>
          <w:noProof/>
        </w:rPr>
        <w:t xml:space="preserve"> advice from GWRC to the Commission in November 2013 indicates that </w:t>
      </w:r>
      <w:r w:rsidR="00A620BC">
        <w:rPr>
          <w:rFonts w:ascii="Arial" w:hAnsi="Arial" w:cs="Arial"/>
          <w:noProof/>
        </w:rPr>
        <w:t>forecast</w:t>
      </w:r>
      <w:r w:rsidR="00867AD5" w:rsidRPr="00EA6CCF">
        <w:rPr>
          <w:rFonts w:ascii="Arial" w:hAnsi="Arial" w:cs="Arial"/>
          <w:noProof/>
        </w:rPr>
        <w:t xml:space="preserve"> major flood protection projects collectively amount to $13.2m. The 2012-22 LTP forecasts $15.1m so this amount has been used. In the absence of specific information in the LTP, the categorisation of </w:t>
      </w:r>
      <w:r w:rsidR="00537CF0">
        <w:rPr>
          <w:rFonts w:ascii="Arial" w:hAnsi="Arial" w:cs="Arial"/>
          <w:noProof/>
        </w:rPr>
        <w:t xml:space="preserve">forecast </w:t>
      </w:r>
      <w:r w:rsidR="00867AD5" w:rsidRPr="00EA6CCF">
        <w:rPr>
          <w:rFonts w:ascii="Arial" w:hAnsi="Arial" w:cs="Arial"/>
          <w:noProof/>
        </w:rPr>
        <w:t>capex has been based on past capex expenditure.</w:t>
      </w:r>
    </w:p>
    <w:p w:rsidR="00EA6CCF" w:rsidRPr="00EA6CCF" w:rsidRDefault="00EA6CCF" w:rsidP="00EA6CCF">
      <w:pPr>
        <w:pStyle w:val="NoSpacing"/>
        <w:rPr>
          <w:rFonts w:ascii="Arial" w:hAnsi="Arial" w:cs="Arial"/>
          <w:noProof/>
        </w:rPr>
      </w:pPr>
    </w:p>
    <w:p w:rsidR="00867AD5" w:rsidRPr="00EA6CCF" w:rsidRDefault="00EA6CCF" w:rsidP="00EA6CCF">
      <w:pPr>
        <w:pStyle w:val="NoSpacing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2. </w:t>
      </w:r>
      <w:r w:rsidR="00867AD5" w:rsidRPr="00EA6CCF">
        <w:rPr>
          <w:rFonts w:ascii="Arial" w:hAnsi="Arial" w:cs="Arial"/>
          <w:noProof/>
        </w:rPr>
        <w:t>GWRC Wairarapa Rail Capex – this is taken from GWRC advice to the Commission dated Novembe</w:t>
      </w:r>
      <w:r>
        <w:rPr>
          <w:rFonts w:ascii="Arial" w:hAnsi="Arial" w:cs="Arial"/>
          <w:noProof/>
        </w:rPr>
        <w:t>r 2013. The forecast period is</w:t>
      </w:r>
      <w:r w:rsidR="00867AD5" w:rsidRPr="00EA6CCF">
        <w:rPr>
          <w:rFonts w:ascii="Arial" w:hAnsi="Arial" w:cs="Arial"/>
          <w:noProof/>
        </w:rPr>
        <w:t>10 years from 2013/14 to 2023/24. From the information supplied the capex appears to be predominantly renewals in nature</w:t>
      </w:r>
      <w:r w:rsidRPr="00EA6CCF">
        <w:rPr>
          <w:rFonts w:ascii="Arial" w:hAnsi="Arial" w:cs="Arial"/>
          <w:noProof/>
        </w:rPr>
        <w:t>.</w:t>
      </w:r>
    </w:p>
    <w:p w:rsidR="00867AD5" w:rsidRDefault="00867AD5"/>
    <w:p w:rsidR="00F20CF3" w:rsidRDefault="00F20CF3"/>
    <w:p w:rsidR="00CF3296" w:rsidRPr="00A620BC" w:rsidRDefault="00CF3296">
      <w:pPr>
        <w:rPr>
          <w:rFonts w:ascii="Arial" w:hAnsi="Arial" w:cs="Arial"/>
        </w:rPr>
      </w:pPr>
      <w:r w:rsidRPr="00A620BC">
        <w:rPr>
          <w:rFonts w:ascii="Arial" w:hAnsi="Arial" w:cs="Arial"/>
        </w:rPr>
        <w:lastRenderedPageBreak/>
        <w:t xml:space="preserve">Pie Chart 1 – Forecast </w:t>
      </w:r>
      <w:proofErr w:type="spellStart"/>
      <w:r w:rsidRPr="00A620BC">
        <w:rPr>
          <w:rFonts w:ascii="Arial" w:hAnsi="Arial" w:cs="Arial"/>
        </w:rPr>
        <w:t>Wairarapa</w:t>
      </w:r>
      <w:proofErr w:type="spellEnd"/>
      <w:r w:rsidRPr="00A620BC">
        <w:rPr>
          <w:rFonts w:ascii="Arial" w:hAnsi="Arial" w:cs="Arial"/>
        </w:rPr>
        <w:t xml:space="preserve"> </w:t>
      </w:r>
      <w:proofErr w:type="spellStart"/>
      <w:r w:rsidRPr="00A620BC">
        <w:rPr>
          <w:rFonts w:ascii="Arial" w:hAnsi="Arial" w:cs="Arial"/>
        </w:rPr>
        <w:t>capex</w:t>
      </w:r>
      <w:proofErr w:type="spellEnd"/>
      <w:r w:rsidRPr="00A620BC">
        <w:rPr>
          <w:rFonts w:ascii="Arial" w:hAnsi="Arial" w:cs="Arial"/>
        </w:rPr>
        <w:t xml:space="preserve"> 2012-22 by Council</w:t>
      </w:r>
    </w:p>
    <w:p w:rsidR="00CF3296" w:rsidRDefault="00CF3296">
      <w:r w:rsidRPr="00CF3296">
        <w:rPr>
          <w:noProof/>
        </w:rPr>
        <w:drawing>
          <wp:inline distT="0" distB="0" distL="0" distR="0">
            <wp:extent cx="4216400" cy="2774950"/>
            <wp:effectExtent l="19050" t="0" r="12700" b="63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F3296" w:rsidRPr="00A620BC" w:rsidRDefault="00CF3296">
      <w:pPr>
        <w:rPr>
          <w:rFonts w:ascii="Arial" w:hAnsi="Arial" w:cs="Arial"/>
        </w:rPr>
      </w:pPr>
      <w:r w:rsidRPr="00A620BC">
        <w:rPr>
          <w:rFonts w:ascii="Arial" w:hAnsi="Arial" w:cs="Arial"/>
        </w:rPr>
        <w:t>Pi</w:t>
      </w:r>
      <w:r w:rsidR="00537CF0">
        <w:rPr>
          <w:rFonts w:ascii="Arial" w:hAnsi="Arial" w:cs="Arial"/>
        </w:rPr>
        <w:t xml:space="preserve">e Chart 2 – Forecast </w:t>
      </w:r>
      <w:proofErr w:type="spellStart"/>
      <w:r w:rsidR="00537CF0">
        <w:rPr>
          <w:rFonts w:ascii="Arial" w:hAnsi="Arial" w:cs="Arial"/>
        </w:rPr>
        <w:t>Wairarapa</w:t>
      </w:r>
      <w:proofErr w:type="spellEnd"/>
      <w:r w:rsidR="00537CF0">
        <w:rPr>
          <w:rFonts w:ascii="Arial" w:hAnsi="Arial" w:cs="Arial"/>
        </w:rPr>
        <w:t xml:space="preserve"> </w:t>
      </w:r>
      <w:proofErr w:type="spellStart"/>
      <w:proofErr w:type="gramStart"/>
      <w:r w:rsidRPr="00A620BC">
        <w:rPr>
          <w:rFonts w:ascii="Arial" w:hAnsi="Arial" w:cs="Arial"/>
        </w:rPr>
        <w:t>Capex</w:t>
      </w:r>
      <w:proofErr w:type="spellEnd"/>
      <w:r w:rsidRPr="00A620BC">
        <w:rPr>
          <w:rFonts w:ascii="Arial" w:hAnsi="Arial" w:cs="Arial"/>
        </w:rPr>
        <w:t xml:space="preserve">  2012</w:t>
      </w:r>
      <w:proofErr w:type="gramEnd"/>
      <w:r w:rsidRPr="00A620BC">
        <w:rPr>
          <w:rFonts w:ascii="Arial" w:hAnsi="Arial" w:cs="Arial"/>
        </w:rPr>
        <w:t xml:space="preserve">-22 by </w:t>
      </w:r>
      <w:proofErr w:type="spellStart"/>
      <w:r w:rsidRPr="00A620BC">
        <w:rPr>
          <w:rFonts w:ascii="Arial" w:hAnsi="Arial" w:cs="Arial"/>
        </w:rPr>
        <w:t>Capex</w:t>
      </w:r>
      <w:proofErr w:type="spellEnd"/>
      <w:r w:rsidRPr="00A620BC">
        <w:rPr>
          <w:rFonts w:ascii="Arial" w:hAnsi="Arial" w:cs="Arial"/>
        </w:rPr>
        <w:t xml:space="preserve"> category</w:t>
      </w:r>
    </w:p>
    <w:p w:rsidR="003351D8" w:rsidRDefault="00A620BC" w:rsidP="003351D8">
      <w:pPr>
        <w:pStyle w:val="NoSpacing"/>
        <w:rPr>
          <w:rFonts w:ascii="Arial" w:hAnsi="Arial" w:cs="Arial"/>
        </w:rPr>
      </w:pPr>
      <w:r w:rsidRPr="00A620BC">
        <w:rPr>
          <w:rFonts w:ascii="Arial" w:hAnsi="Arial" w:cs="Arial"/>
          <w:noProof/>
        </w:rPr>
        <w:drawing>
          <wp:inline distT="0" distB="0" distL="0" distR="0">
            <wp:extent cx="4216400" cy="2520950"/>
            <wp:effectExtent l="19050" t="0" r="12700" b="0"/>
            <wp:docPr id="5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620BC" w:rsidRDefault="00A620BC" w:rsidP="003351D8">
      <w:pPr>
        <w:pStyle w:val="NoSpacing"/>
        <w:rPr>
          <w:rFonts w:ascii="Arial" w:hAnsi="Arial" w:cs="Arial"/>
          <w:b/>
        </w:rPr>
      </w:pPr>
    </w:p>
    <w:p w:rsidR="003351D8" w:rsidRPr="003351D8" w:rsidRDefault="00A620BC" w:rsidP="003351D8">
      <w:pPr>
        <w:pStyle w:val="NoSpacing"/>
        <w:rPr>
          <w:rFonts w:ascii="Arial" w:hAnsi="Arial" w:cs="Arial"/>
        </w:rPr>
      </w:pPr>
      <w:r w:rsidRPr="003351D8">
        <w:rPr>
          <w:rFonts w:ascii="Arial" w:hAnsi="Arial" w:cs="Arial"/>
          <w:b/>
        </w:rPr>
        <w:t xml:space="preserve">Major Features of </w:t>
      </w:r>
      <w:proofErr w:type="spellStart"/>
      <w:r w:rsidRPr="003351D8">
        <w:rPr>
          <w:rFonts w:ascii="Arial" w:hAnsi="Arial" w:cs="Arial"/>
          <w:b/>
        </w:rPr>
        <w:t>Wairarapa</w:t>
      </w:r>
      <w:proofErr w:type="spellEnd"/>
      <w:r w:rsidRPr="003351D8">
        <w:rPr>
          <w:rFonts w:ascii="Arial" w:hAnsi="Arial" w:cs="Arial"/>
          <w:b/>
        </w:rPr>
        <w:t xml:space="preserve"> Forecast </w:t>
      </w:r>
      <w:proofErr w:type="spellStart"/>
      <w:r w:rsidRPr="003351D8">
        <w:rPr>
          <w:rFonts w:ascii="Arial" w:hAnsi="Arial" w:cs="Arial"/>
          <w:b/>
        </w:rPr>
        <w:t>Capex</w:t>
      </w:r>
      <w:proofErr w:type="spellEnd"/>
      <w:r w:rsidRPr="003351D8">
        <w:rPr>
          <w:rFonts w:ascii="Arial" w:hAnsi="Arial" w:cs="Arial"/>
        </w:rPr>
        <w:t>;</w:t>
      </w:r>
    </w:p>
    <w:p w:rsidR="003351D8" w:rsidRPr="003351D8" w:rsidRDefault="003351D8" w:rsidP="003351D8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3351D8">
        <w:rPr>
          <w:rFonts w:ascii="Arial" w:hAnsi="Arial" w:cs="Arial"/>
        </w:rPr>
        <w:t xml:space="preserve">In total 10 year forecast </w:t>
      </w:r>
      <w:proofErr w:type="spellStart"/>
      <w:r w:rsidRPr="003351D8">
        <w:rPr>
          <w:rFonts w:ascii="Arial" w:hAnsi="Arial" w:cs="Arial"/>
        </w:rPr>
        <w:t>capex</w:t>
      </w:r>
      <w:proofErr w:type="spellEnd"/>
      <w:r w:rsidRPr="003351D8">
        <w:rPr>
          <w:rFonts w:ascii="Arial" w:hAnsi="Arial" w:cs="Arial"/>
        </w:rPr>
        <w:t xml:space="preserve"> in the </w:t>
      </w:r>
      <w:proofErr w:type="spellStart"/>
      <w:r w:rsidRPr="003351D8">
        <w:rPr>
          <w:rFonts w:ascii="Arial" w:hAnsi="Arial" w:cs="Arial"/>
        </w:rPr>
        <w:t>Wairarapa</w:t>
      </w:r>
      <w:proofErr w:type="spellEnd"/>
      <w:r w:rsidRPr="003351D8">
        <w:rPr>
          <w:rFonts w:ascii="Arial" w:hAnsi="Arial" w:cs="Arial"/>
        </w:rPr>
        <w:t xml:space="preserve"> area is about $250m or a quarter of a billion dollars</w:t>
      </w:r>
    </w:p>
    <w:p w:rsidR="003351D8" w:rsidRPr="003351D8" w:rsidRDefault="003351D8" w:rsidP="003351D8">
      <w:pPr>
        <w:pStyle w:val="NoSpacing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3351D8">
        <w:rPr>
          <w:rFonts w:ascii="Arial" w:hAnsi="Arial" w:cs="Arial"/>
        </w:rPr>
        <w:t>Masterton</w:t>
      </w:r>
      <w:proofErr w:type="spellEnd"/>
      <w:r w:rsidRPr="003351D8">
        <w:rPr>
          <w:rFonts w:ascii="Arial" w:hAnsi="Arial" w:cs="Arial"/>
        </w:rPr>
        <w:t xml:space="preserve"> District Council accounts for nearly half of the forecast </w:t>
      </w:r>
      <w:proofErr w:type="spellStart"/>
      <w:r w:rsidRPr="003351D8">
        <w:rPr>
          <w:rFonts w:ascii="Arial" w:hAnsi="Arial" w:cs="Arial"/>
        </w:rPr>
        <w:t>capex</w:t>
      </w:r>
      <w:proofErr w:type="spellEnd"/>
    </w:p>
    <w:p w:rsidR="003351D8" w:rsidRPr="003351D8" w:rsidRDefault="003351D8" w:rsidP="003351D8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3351D8">
        <w:rPr>
          <w:rFonts w:ascii="Arial" w:hAnsi="Arial" w:cs="Arial"/>
        </w:rPr>
        <w:t xml:space="preserve">There is minimal growth related </w:t>
      </w:r>
      <w:proofErr w:type="spellStart"/>
      <w:r w:rsidRPr="003351D8">
        <w:rPr>
          <w:rFonts w:ascii="Arial" w:hAnsi="Arial" w:cs="Arial"/>
        </w:rPr>
        <w:t>capex</w:t>
      </w:r>
      <w:proofErr w:type="spellEnd"/>
      <w:r w:rsidRPr="003351D8">
        <w:rPr>
          <w:rFonts w:ascii="Arial" w:hAnsi="Arial" w:cs="Arial"/>
        </w:rPr>
        <w:t xml:space="preserve"> forecast – only $4million or 2% of the total. Interestingly </w:t>
      </w:r>
      <w:proofErr w:type="spellStart"/>
      <w:r w:rsidRPr="003351D8">
        <w:rPr>
          <w:rFonts w:ascii="Arial" w:hAnsi="Arial" w:cs="Arial"/>
        </w:rPr>
        <w:t>Carterton’s</w:t>
      </w:r>
      <w:proofErr w:type="spellEnd"/>
      <w:r w:rsidRPr="003351D8">
        <w:rPr>
          <w:rFonts w:ascii="Arial" w:hAnsi="Arial" w:cs="Arial"/>
        </w:rPr>
        <w:t xml:space="preserve"> forecast growth </w:t>
      </w:r>
      <w:proofErr w:type="spellStart"/>
      <w:r w:rsidRPr="003351D8">
        <w:rPr>
          <w:rFonts w:ascii="Arial" w:hAnsi="Arial" w:cs="Arial"/>
        </w:rPr>
        <w:t>capex</w:t>
      </w:r>
      <w:proofErr w:type="spellEnd"/>
      <w:r w:rsidRPr="003351D8">
        <w:rPr>
          <w:rFonts w:ascii="Arial" w:hAnsi="Arial" w:cs="Arial"/>
        </w:rPr>
        <w:t xml:space="preserve"> is more than </w:t>
      </w:r>
      <w:proofErr w:type="spellStart"/>
      <w:r w:rsidRPr="003351D8">
        <w:rPr>
          <w:rFonts w:ascii="Arial" w:hAnsi="Arial" w:cs="Arial"/>
        </w:rPr>
        <w:t>Masterton’s</w:t>
      </w:r>
      <w:proofErr w:type="spellEnd"/>
      <w:r w:rsidRPr="003351D8">
        <w:rPr>
          <w:rFonts w:ascii="Arial" w:hAnsi="Arial" w:cs="Arial"/>
        </w:rPr>
        <w:t>.</w:t>
      </w:r>
    </w:p>
    <w:p w:rsidR="003351D8" w:rsidRDefault="003351D8" w:rsidP="003351D8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3351D8">
        <w:rPr>
          <w:rFonts w:ascii="Arial" w:hAnsi="Arial" w:cs="Arial"/>
        </w:rPr>
        <w:t xml:space="preserve">Nearly three quarters of forecast </w:t>
      </w:r>
      <w:proofErr w:type="spellStart"/>
      <w:r w:rsidRPr="003351D8">
        <w:rPr>
          <w:rFonts w:ascii="Arial" w:hAnsi="Arial" w:cs="Arial"/>
        </w:rPr>
        <w:t>capex</w:t>
      </w:r>
      <w:proofErr w:type="spellEnd"/>
      <w:r w:rsidRPr="003351D8">
        <w:rPr>
          <w:rFonts w:ascii="Arial" w:hAnsi="Arial" w:cs="Arial"/>
        </w:rPr>
        <w:t xml:space="preserve"> is related to the renewal and replacement of existing asset stocks</w:t>
      </w:r>
    </w:p>
    <w:p w:rsidR="003351D8" w:rsidRDefault="003351D8" w:rsidP="003351D8">
      <w:pPr>
        <w:pStyle w:val="NoSpacing"/>
        <w:rPr>
          <w:rFonts w:ascii="Arial" w:hAnsi="Arial" w:cs="Arial"/>
        </w:rPr>
      </w:pPr>
    </w:p>
    <w:p w:rsidR="003351D8" w:rsidRDefault="003351D8" w:rsidP="003351D8">
      <w:pPr>
        <w:pStyle w:val="NoSpacing"/>
        <w:rPr>
          <w:rFonts w:ascii="Arial" w:hAnsi="Arial" w:cs="Arial"/>
        </w:rPr>
      </w:pPr>
    </w:p>
    <w:p w:rsidR="003351D8" w:rsidRDefault="003351D8" w:rsidP="003351D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I hope this information is of assistance to the Commission.</w:t>
      </w:r>
    </w:p>
    <w:p w:rsidR="00A620BC" w:rsidRDefault="00A620BC" w:rsidP="003351D8">
      <w:pPr>
        <w:pStyle w:val="NoSpacing"/>
        <w:rPr>
          <w:rFonts w:ascii="Arial" w:hAnsi="Arial" w:cs="Arial"/>
        </w:rPr>
      </w:pPr>
    </w:p>
    <w:p w:rsidR="00A620BC" w:rsidRDefault="00A620BC" w:rsidP="003351D8">
      <w:pPr>
        <w:pStyle w:val="NoSpacing"/>
        <w:rPr>
          <w:rFonts w:ascii="Arial" w:hAnsi="Arial" w:cs="Arial"/>
        </w:rPr>
      </w:pPr>
    </w:p>
    <w:p w:rsidR="00A620BC" w:rsidRDefault="00A620BC" w:rsidP="003351D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Yours faithfully</w:t>
      </w:r>
    </w:p>
    <w:p w:rsidR="00A620BC" w:rsidRDefault="00A620BC" w:rsidP="003351D8">
      <w:pPr>
        <w:pStyle w:val="NoSpacing"/>
        <w:rPr>
          <w:rFonts w:ascii="Arial" w:hAnsi="Arial" w:cs="Arial"/>
        </w:rPr>
      </w:pPr>
    </w:p>
    <w:p w:rsidR="00A620BC" w:rsidRDefault="00A620BC" w:rsidP="003351D8">
      <w:pPr>
        <w:pStyle w:val="NoSpacing"/>
        <w:rPr>
          <w:rFonts w:ascii="Arial" w:hAnsi="Arial" w:cs="Arial"/>
        </w:rPr>
      </w:pPr>
    </w:p>
    <w:p w:rsidR="00A620BC" w:rsidRDefault="00A620BC" w:rsidP="003351D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Brian Smith</w:t>
      </w:r>
    </w:p>
    <w:p w:rsidR="003351D8" w:rsidRPr="003351D8" w:rsidRDefault="00A620BC" w:rsidP="003351D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Brian Smith Advisory Services</w:t>
      </w:r>
    </w:p>
    <w:sectPr w:rsidR="003351D8" w:rsidRPr="003351D8" w:rsidSect="00F659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B17A7"/>
    <w:multiLevelType w:val="hybridMultilevel"/>
    <w:tmpl w:val="2D326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F52FF"/>
    <w:multiLevelType w:val="hybridMultilevel"/>
    <w:tmpl w:val="B3C89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74B64"/>
    <w:multiLevelType w:val="hybridMultilevel"/>
    <w:tmpl w:val="3FB09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F15"/>
    <w:rsid w:val="00074B46"/>
    <w:rsid w:val="002131F5"/>
    <w:rsid w:val="002962D1"/>
    <w:rsid w:val="003351D8"/>
    <w:rsid w:val="003569B0"/>
    <w:rsid w:val="003D4876"/>
    <w:rsid w:val="004F38FA"/>
    <w:rsid w:val="00537CF0"/>
    <w:rsid w:val="00622739"/>
    <w:rsid w:val="007F7F2B"/>
    <w:rsid w:val="00867AD5"/>
    <w:rsid w:val="00900F15"/>
    <w:rsid w:val="00A620BC"/>
    <w:rsid w:val="00CF3296"/>
    <w:rsid w:val="00D80E47"/>
    <w:rsid w:val="00E0456D"/>
    <w:rsid w:val="00EA6CCF"/>
    <w:rsid w:val="00F20CF3"/>
    <w:rsid w:val="00F6594F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0F1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4F38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5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4F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uiPriority w:val="34"/>
    <w:qFormat/>
    <w:rsid w:val="00335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0F1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4F38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5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4F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uiPriority w:val="34"/>
    <w:qFormat/>
    <w:rsid w:val="00335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Brian\Documents\LG%20Commission%20-%20Wellington\WairarapaClscapex10years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Brian\Documents\LG%20Commission%20-%20Wellington\WairarapaClscapex10year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Sheet1!$A$3:$A$7</c:f>
              <c:strCache>
                <c:ptCount val="5"/>
                <c:pt idx="0">
                  <c:v>Carterton</c:v>
                </c:pt>
                <c:pt idx="1">
                  <c:v>Masterton</c:v>
                </c:pt>
                <c:pt idx="2">
                  <c:v>South Wairarapa</c:v>
                </c:pt>
                <c:pt idx="3">
                  <c:v>GWRC- Wairarapa Flood Protection capex</c:v>
                </c:pt>
                <c:pt idx="4">
                  <c:v>GWRC - Wairarapa Rail Capex</c:v>
                </c:pt>
              </c:strCache>
            </c:strRef>
          </c:cat>
          <c:val>
            <c:numRef>
              <c:f>Sheet1!$B$3:$B$7</c:f>
              <c:numCache>
                <c:formatCode>General</c:formatCode>
                <c:ptCount val="5"/>
                <c:pt idx="0">
                  <c:v>42.4</c:v>
                </c:pt>
                <c:pt idx="1">
                  <c:v>121</c:v>
                </c:pt>
                <c:pt idx="2">
                  <c:v>51.5</c:v>
                </c:pt>
                <c:pt idx="3">
                  <c:v>15.1</c:v>
                </c:pt>
                <c:pt idx="4">
                  <c:v>20.6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Sheet1!$A$32:$A$34</c:f>
              <c:strCache>
                <c:ptCount val="3"/>
                <c:pt idx="0">
                  <c:v>Growth capex</c:v>
                </c:pt>
                <c:pt idx="1">
                  <c:v>Levels of Service capex</c:v>
                </c:pt>
                <c:pt idx="2">
                  <c:v>Renewal capex</c:v>
                </c:pt>
              </c:strCache>
            </c:strRef>
          </c:cat>
          <c:val>
            <c:numRef>
              <c:f>Sheet1!$B$32:$B$34</c:f>
              <c:numCache>
                <c:formatCode>General</c:formatCode>
                <c:ptCount val="3"/>
                <c:pt idx="0">
                  <c:v>4</c:v>
                </c:pt>
                <c:pt idx="1">
                  <c:v>59.5</c:v>
                </c:pt>
                <c:pt idx="2">
                  <c:v>187.1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0.45764</cdr:x>
      <cdr:y>0.07061</cdr:y>
    </cdr:from>
    <cdr:to>
      <cdr:x>0.61441</cdr:x>
      <cdr:y>0.15576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35150" y="215900"/>
          <a:ext cx="628650" cy="260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17%</a:t>
          </a:r>
        </a:p>
      </cdr:txBody>
    </cdr:sp>
  </cdr:relSizeAnchor>
  <cdr:relSizeAnchor xmlns:cdr="http://schemas.openxmlformats.org/drawingml/2006/chartDrawing">
    <cdr:from>
      <cdr:x>0.39113</cdr:x>
      <cdr:y>0.84943</cdr:y>
    </cdr:from>
    <cdr:to>
      <cdr:x>0.61599</cdr:x>
      <cdr:y>0.94289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568450" y="2597150"/>
          <a:ext cx="90170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48%</a:t>
          </a:r>
        </a:p>
      </cdr:txBody>
    </cdr:sp>
  </cdr:relSizeAnchor>
  <cdr:relSizeAnchor xmlns:cdr="http://schemas.openxmlformats.org/drawingml/2006/chartDrawing">
    <cdr:from>
      <cdr:x>0</cdr:x>
      <cdr:y>0.30945</cdr:y>
    </cdr:from>
    <cdr:to>
      <cdr:x>0.11243</cdr:x>
      <cdr:y>0.40291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0" y="946150"/>
          <a:ext cx="45085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21%</a:t>
          </a:r>
        </a:p>
      </cdr:txBody>
    </cdr:sp>
  </cdr:relSizeAnchor>
  <cdr:relSizeAnchor xmlns:cdr="http://schemas.openxmlformats.org/drawingml/2006/chartDrawing">
    <cdr:from>
      <cdr:x>0.06334</cdr:x>
      <cdr:y>0.13292</cdr:y>
    </cdr:from>
    <cdr:to>
      <cdr:x>0.16944</cdr:x>
      <cdr:y>0.20145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54000" y="406400"/>
          <a:ext cx="425450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6%</a:t>
          </a:r>
        </a:p>
      </cdr:txBody>
    </cdr:sp>
  </cdr:relSizeAnchor>
  <cdr:relSizeAnchor xmlns:cdr="http://schemas.openxmlformats.org/drawingml/2006/chartDrawing">
    <cdr:from>
      <cdr:x>0.21853</cdr:x>
      <cdr:y>0.03531</cdr:y>
    </cdr:from>
    <cdr:to>
      <cdr:x>0.31829</cdr:x>
      <cdr:y>0.108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876300" y="107950"/>
          <a:ext cx="400050" cy="222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8%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0.29612</cdr:x>
      <cdr:y>0.04352</cdr:y>
    </cdr:from>
    <cdr:to>
      <cdr:x>0.41489</cdr:x>
      <cdr:y>0.10307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187450" y="120650"/>
          <a:ext cx="476250" cy="165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2%</a:t>
          </a:r>
        </a:p>
      </cdr:txBody>
    </cdr:sp>
  </cdr:relSizeAnchor>
  <cdr:relSizeAnchor xmlns:cdr="http://schemas.openxmlformats.org/drawingml/2006/chartDrawing">
    <cdr:from>
      <cdr:x>0.54315</cdr:x>
      <cdr:y>0.14659</cdr:y>
    </cdr:from>
    <cdr:to>
      <cdr:x>0.72842</cdr:x>
      <cdr:y>0.25653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178050" y="406400"/>
          <a:ext cx="742950" cy="30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26%</a:t>
          </a:r>
        </a:p>
      </cdr:txBody>
    </cdr:sp>
  </cdr:relSizeAnchor>
  <cdr:relSizeAnchor xmlns:cdr="http://schemas.openxmlformats.org/drawingml/2006/chartDrawing">
    <cdr:from>
      <cdr:x>0.37688</cdr:x>
      <cdr:y>0.84059</cdr:y>
    </cdr:from>
    <cdr:to>
      <cdr:x>0.65241</cdr:x>
      <cdr:y>0.94366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511300" y="2330450"/>
          <a:ext cx="110490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n-US" sz="1100"/>
            <a:t>72%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D91B42C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Internal Affairs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Don Mackay</cp:lastModifiedBy>
  <cp:revision>2</cp:revision>
  <dcterms:created xsi:type="dcterms:W3CDTF">2014-12-02T21:32:00Z</dcterms:created>
  <dcterms:modified xsi:type="dcterms:W3CDTF">2014-12-02T21:32:00Z</dcterms:modified>
</cp:coreProperties>
</file>